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E36FE" w14:textId="77777777" w:rsidR="006C01C7" w:rsidRPr="00F3466E" w:rsidRDefault="0052215E" w:rsidP="0052215E">
      <w:pPr>
        <w:jc w:val="center"/>
        <w:rPr>
          <w:rFonts w:cs="Calibri"/>
          <w:lang w:val="el-GR"/>
        </w:rPr>
      </w:pPr>
      <w:r w:rsidRPr="00F3466E">
        <w:rPr>
          <w:rFonts w:cs="Calibri"/>
          <w:lang w:val="el-GR"/>
        </w:rPr>
        <w:t xml:space="preserve">      </w:t>
      </w:r>
      <w:r w:rsidR="00B872BC" w:rsidRPr="00F3466E">
        <w:rPr>
          <w:rFonts w:cs="Calibri"/>
          <w:lang w:val="el-GR"/>
        </w:rPr>
        <w:t xml:space="preserve">  </w:t>
      </w:r>
      <w:r w:rsidRPr="00F3466E">
        <w:rPr>
          <w:rFonts w:cs="Calibri"/>
          <w:lang w:val="el-GR"/>
        </w:rPr>
        <w:t xml:space="preserve">         </w:t>
      </w:r>
    </w:p>
    <w:p w14:paraId="57608CC2" w14:textId="77777777" w:rsidR="006C01C7" w:rsidRPr="00461D67" w:rsidRDefault="006C01C7" w:rsidP="0052215E">
      <w:pPr>
        <w:jc w:val="center"/>
        <w:rPr>
          <w:rFonts w:cs="Calibri"/>
          <w:lang w:val="el-GR"/>
        </w:rPr>
      </w:pPr>
    </w:p>
    <w:p w14:paraId="2E04CA31" w14:textId="77777777" w:rsidR="006C01C7" w:rsidRPr="00F3466E" w:rsidRDefault="006C01C7" w:rsidP="006C01C7">
      <w:pPr>
        <w:jc w:val="center"/>
        <w:rPr>
          <w:rFonts w:cs="Calibri"/>
          <w:caps/>
          <w:sz w:val="28"/>
          <w:szCs w:val="28"/>
          <w:lang w:val="el-GR"/>
        </w:rPr>
      </w:pPr>
    </w:p>
    <w:p w14:paraId="08CD79DE" w14:textId="77777777" w:rsidR="006C01C7" w:rsidRPr="005D7B65" w:rsidRDefault="006C01C7" w:rsidP="006C01C7">
      <w:pPr>
        <w:jc w:val="center"/>
        <w:rPr>
          <w:rFonts w:cs="Calibri"/>
          <w:caps/>
          <w:sz w:val="28"/>
          <w:szCs w:val="28"/>
          <w:lang w:val="el-GR"/>
        </w:rPr>
      </w:pPr>
    </w:p>
    <w:p w14:paraId="4DC8F8BD" w14:textId="77777777" w:rsidR="006C01C7" w:rsidRPr="00F3466E" w:rsidRDefault="006C01C7" w:rsidP="006C01C7">
      <w:pPr>
        <w:jc w:val="center"/>
        <w:rPr>
          <w:rFonts w:cs="Calibri"/>
          <w:caps/>
          <w:sz w:val="28"/>
          <w:szCs w:val="28"/>
          <w:lang w:val="el-GR"/>
        </w:rPr>
      </w:pPr>
    </w:p>
    <w:p w14:paraId="31FB4241" w14:textId="77777777" w:rsidR="006C01C7" w:rsidRPr="00327398" w:rsidRDefault="006C01C7" w:rsidP="009C5C98">
      <w:pPr>
        <w:spacing w:after="0" w:line="360" w:lineRule="auto"/>
        <w:jc w:val="center"/>
        <w:rPr>
          <w:rFonts w:cs="Calibri"/>
          <w:bCs/>
          <w:color w:val="000000"/>
          <w:sz w:val="48"/>
          <w:szCs w:val="48"/>
          <w:lang w:val="el-GR"/>
        </w:rPr>
      </w:pPr>
      <w:r w:rsidRPr="00F3466E">
        <w:rPr>
          <w:rFonts w:cs="Calibri"/>
          <w:bCs/>
          <w:color w:val="000000"/>
          <w:sz w:val="48"/>
          <w:szCs w:val="48"/>
          <w:lang w:val="el-GR"/>
        </w:rPr>
        <w:t xml:space="preserve">ΕΚΘΕΣΗ </w:t>
      </w:r>
      <w:r w:rsidR="009C5C98">
        <w:rPr>
          <w:rFonts w:cs="Calibri"/>
          <w:bCs/>
          <w:color w:val="000000"/>
          <w:sz w:val="48"/>
          <w:szCs w:val="48"/>
          <w:lang w:val="el-GR"/>
        </w:rPr>
        <w:t>ΠΡΟΟΔΟΥ</w:t>
      </w:r>
      <w:r w:rsidR="00EB264F">
        <w:rPr>
          <w:rFonts w:cs="Calibri"/>
          <w:bCs/>
          <w:color w:val="000000"/>
          <w:sz w:val="48"/>
          <w:szCs w:val="48"/>
          <w:lang w:val="el-GR"/>
        </w:rPr>
        <w:t xml:space="preserve"> 2017</w:t>
      </w:r>
    </w:p>
    <w:p w14:paraId="0F29780E" w14:textId="77C8B392" w:rsidR="009C5C98" w:rsidRDefault="009C5C98" w:rsidP="009C5C98">
      <w:pPr>
        <w:spacing w:after="0" w:line="360" w:lineRule="auto"/>
        <w:jc w:val="center"/>
        <w:rPr>
          <w:rFonts w:cs="Calibri"/>
          <w:bCs/>
          <w:color w:val="000000"/>
          <w:sz w:val="48"/>
          <w:szCs w:val="48"/>
          <w:lang w:val="el-GR"/>
        </w:rPr>
      </w:pPr>
    </w:p>
    <w:p w14:paraId="44EF6CA7" w14:textId="699DD2F6" w:rsidR="009C5C98" w:rsidRPr="009C5C98" w:rsidRDefault="009C5C98" w:rsidP="009C5C98">
      <w:pPr>
        <w:spacing w:after="0" w:line="360" w:lineRule="auto"/>
        <w:jc w:val="center"/>
        <w:rPr>
          <w:rFonts w:cs="Calibri"/>
          <w:bCs/>
          <w:color w:val="000000"/>
          <w:sz w:val="48"/>
          <w:szCs w:val="48"/>
          <w:lang w:val="el-GR"/>
        </w:rPr>
      </w:pPr>
      <w:r>
        <w:rPr>
          <w:rFonts w:cs="Calibri"/>
          <w:bCs/>
          <w:color w:val="000000"/>
          <w:sz w:val="48"/>
          <w:szCs w:val="48"/>
          <w:lang w:val="el-GR"/>
        </w:rPr>
        <w:t>ΣΥΜΦΩΝ</w:t>
      </w:r>
      <w:r w:rsidR="00EB264F">
        <w:rPr>
          <w:rFonts w:cs="Calibri"/>
          <w:bCs/>
          <w:color w:val="000000"/>
          <w:sz w:val="48"/>
          <w:szCs w:val="48"/>
          <w:lang w:val="el-GR"/>
        </w:rPr>
        <w:t>ΙΑ</w:t>
      </w:r>
      <w:r>
        <w:rPr>
          <w:rFonts w:cs="Calibri"/>
          <w:bCs/>
          <w:color w:val="000000"/>
          <w:sz w:val="48"/>
          <w:szCs w:val="48"/>
          <w:lang w:val="el-GR"/>
        </w:rPr>
        <w:t xml:space="preserve"> ΕΤΑΙΡΙΚΗΣ ΣΧΕΣΗΣ</w:t>
      </w:r>
    </w:p>
    <w:p w14:paraId="30282C05" w14:textId="5C6AA51D" w:rsidR="006C01C7" w:rsidRPr="00F3466E" w:rsidRDefault="006C01C7" w:rsidP="006C01C7">
      <w:pPr>
        <w:jc w:val="center"/>
        <w:rPr>
          <w:rFonts w:cs="Calibri"/>
          <w:caps/>
          <w:sz w:val="28"/>
          <w:szCs w:val="28"/>
          <w:lang w:val="el-GR"/>
        </w:rPr>
      </w:pPr>
    </w:p>
    <w:p w14:paraId="102D7E22" w14:textId="77777777" w:rsidR="006C01C7" w:rsidRPr="00F3466E" w:rsidRDefault="006C01C7" w:rsidP="006C01C7">
      <w:pPr>
        <w:jc w:val="center"/>
        <w:rPr>
          <w:rFonts w:cs="Calibri"/>
          <w:caps/>
          <w:sz w:val="28"/>
          <w:szCs w:val="28"/>
          <w:lang w:val="el-GR"/>
        </w:rPr>
      </w:pPr>
    </w:p>
    <w:p w14:paraId="3C4C8850" w14:textId="77777777" w:rsidR="006C01C7" w:rsidRPr="00BA68CD" w:rsidRDefault="006C01C7" w:rsidP="006C01C7">
      <w:pPr>
        <w:jc w:val="center"/>
        <w:rPr>
          <w:rFonts w:cs="Calibri"/>
          <w:caps/>
          <w:sz w:val="28"/>
          <w:szCs w:val="28"/>
          <w:lang w:val="el-GR"/>
        </w:rPr>
      </w:pPr>
    </w:p>
    <w:p w14:paraId="5F16341C" w14:textId="77777777" w:rsidR="009C5C98" w:rsidRDefault="009C5C98" w:rsidP="00BA4E88">
      <w:pPr>
        <w:spacing w:after="0" w:line="240" w:lineRule="auto"/>
        <w:jc w:val="center"/>
        <w:rPr>
          <w:rFonts w:cs="Calibri"/>
          <w:bCs/>
          <w:color w:val="0000CC"/>
          <w:sz w:val="44"/>
          <w:szCs w:val="44"/>
          <w:lang w:val="el-GR"/>
        </w:rPr>
      </w:pPr>
      <w:r>
        <w:rPr>
          <w:rFonts w:cs="Calibri"/>
          <w:bCs/>
          <w:color w:val="0000CC"/>
          <w:sz w:val="44"/>
          <w:szCs w:val="44"/>
          <w:lang w:val="el-GR"/>
        </w:rPr>
        <w:t xml:space="preserve">Ευρωπαϊκά Διαρθρωτικά και </w:t>
      </w:r>
    </w:p>
    <w:p w14:paraId="71DA0836" w14:textId="77777777" w:rsidR="006C01C7" w:rsidRPr="00F3466E" w:rsidRDefault="009C5C98" w:rsidP="00BA4E88">
      <w:pPr>
        <w:spacing w:after="0" w:line="240" w:lineRule="auto"/>
        <w:jc w:val="center"/>
        <w:rPr>
          <w:rFonts w:cs="Calibri"/>
          <w:bCs/>
          <w:color w:val="0000CC"/>
          <w:sz w:val="48"/>
          <w:szCs w:val="48"/>
          <w:lang w:val="el-GR"/>
        </w:rPr>
      </w:pPr>
      <w:r>
        <w:rPr>
          <w:rFonts w:cs="Calibri"/>
          <w:bCs/>
          <w:color w:val="0000CC"/>
          <w:sz w:val="44"/>
          <w:szCs w:val="44"/>
          <w:lang w:val="el-GR"/>
        </w:rPr>
        <w:t>Επενδυτικά Ταμεία</w:t>
      </w:r>
      <w:r w:rsidR="006C01C7" w:rsidRPr="00F3466E">
        <w:rPr>
          <w:rFonts w:cs="Calibri"/>
          <w:bCs/>
          <w:color w:val="0000CC"/>
          <w:sz w:val="44"/>
          <w:szCs w:val="44"/>
          <w:lang w:val="el-GR"/>
        </w:rPr>
        <w:t xml:space="preserve"> 2014-2020</w:t>
      </w:r>
    </w:p>
    <w:p w14:paraId="5479EAFD" w14:textId="77777777" w:rsidR="006C01C7" w:rsidRPr="003A29E8" w:rsidRDefault="006C01C7" w:rsidP="006C01C7">
      <w:pPr>
        <w:jc w:val="center"/>
        <w:rPr>
          <w:rFonts w:cs="Calibri"/>
          <w:bCs/>
          <w:color w:val="000000"/>
          <w:sz w:val="48"/>
          <w:szCs w:val="48"/>
          <w:lang w:val="el-GR"/>
        </w:rPr>
      </w:pPr>
    </w:p>
    <w:p w14:paraId="6438D0FD" w14:textId="7F192E26" w:rsidR="006C01C7" w:rsidRDefault="006C01C7" w:rsidP="006C01C7">
      <w:pPr>
        <w:jc w:val="center"/>
        <w:rPr>
          <w:rFonts w:cs="Calibri"/>
          <w:bCs/>
          <w:color w:val="000000"/>
          <w:sz w:val="48"/>
          <w:szCs w:val="48"/>
          <w:lang w:val="el-GR"/>
        </w:rPr>
      </w:pPr>
    </w:p>
    <w:p w14:paraId="040C5CEC" w14:textId="77777777" w:rsidR="00C32E5D" w:rsidRPr="00F3466E" w:rsidRDefault="00C32E5D" w:rsidP="006C01C7">
      <w:pPr>
        <w:jc w:val="center"/>
        <w:rPr>
          <w:rFonts w:cs="Calibri"/>
          <w:bCs/>
          <w:color w:val="000000"/>
          <w:sz w:val="48"/>
          <w:szCs w:val="48"/>
          <w:lang w:val="el-GR"/>
        </w:rPr>
      </w:pPr>
    </w:p>
    <w:p w14:paraId="72B65505" w14:textId="77777777" w:rsidR="006C01C7" w:rsidRPr="00F3466E" w:rsidRDefault="003A29E8" w:rsidP="006C01C7">
      <w:pPr>
        <w:jc w:val="center"/>
        <w:rPr>
          <w:rFonts w:cs="Calibri"/>
          <w:caps/>
          <w:sz w:val="28"/>
          <w:szCs w:val="28"/>
          <w:lang w:val="el-GR"/>
        </w:rPr>
      </w:pPr>
      <w:r>
        <w:rPr>
          <w:rFonts w:cs="Calibri"/>
          <w:bCs/>
          <w:sz w:val="28"/>
          <w:szCs w:val="28"/>
          <w:lang w:val="el-GR"/>
        </w:rPr>
        <w:t>Αύγουστος</w:t>
      </w:r>
      <w:r w:rsidR="006C01C7" w:rsidRPr="00F3466E">
        <w:rPr>
          <w:rFonts w:cs="Calibri"/>
          <w:bCs/>
          <w:sz w:val="28"/>
          <w:szCs w:val="28"/>
          <w:lang w:val="el-GR"/>
        </w:rPr>
        <w:t xml:space="preserve"> 201</w:t>
      </w:r>
      <w:r w:rsidR="00AD70AB" w:rsidRPr="00F3466E">
        <w:rPr>
          <w:rFonts w:cs="Calibri"/>
          <w:bCs/>
          <w:sz w:val="28"/>
          <w:szCs w:val="28"/>
          <w:lang w:val="el-GR"/>
        </w:rPr>
        <w:t>7</w:t>
      </w:r>
    </w:p>
    <w:p w14:paraId="57E89C39" w14:textId="77777777" w:rsidR="006C01C7" w:rsidRPr="00F3466E" w:rsidRDefault="006C01C7" w:rsidP="006C01C7">
      <w:pPr>
        <w:jc w:val="center"/>
        <w:rPr>
          <w:rFonts w:cs="Calibri"/>
          <w:caps/>
          <w:sz w:val="28"/>
          <w:szCs w:val="28"/>
          <w:lang w:val="el-GR"/>
        </w:rPr>
      </w:pPr>
    </w:p>
    <w:p w14:paraId="11BE16D8" w14:textId="77777777" w:rsidR="00CF0CCA" w:rsidRDefault="00CF0CCA" w:rsidP="006C01C7">
      <w:pPr>
        <w:jc w:val="center"/>
        <w:rPr>
          <w:rFonts w:cs="Calibri"/>
          <w:caps/>
          <w:sz w:val="28"/>
          <w:szCs w:val="28"/>
          <w:lang w:val="el-GR"/>
        </w:rPr>
        <w:sectPr w:rsidR="00CF0CCA" w:rsidSect="004552C9">
          <w:headerReference w:type="default" r:id="rId8"/>
          <w:footerReference w:type="default" r:id="rId9"/>
          <w:type w:val="continuous"/>
          <w:pgSz w:w="12240" w:h="15840"/>
          <w:pgMar w:top="1440" w:right="1080" w:bottom="1440" w:left="1080" w:header="454" w:footer="454" w:gutter="0"/>
          <w:cols w:space="708"/>
          <w:docGrid w:linePitch="360"/>
        </w:sectPr>
      </w:pPr>
    </w:p>
    <w:p w14:paraId="447F11AB" w14:textId="2FB45255" w:rsidR="00BA4E88" w:rsidRPr="00F3466E" w:rsidRDefault="004B4292" w:rsidP="006C01C7">
      <w:pPr>
        <w:jc w:val="center"/>
        <w:rPr>
          <w:rFonts w:cs="Calibri"/>
          <w:caps/>
          <w:sz w:val="28"/>
          <w:szCs w:val="28"/>
          <w:lang w:val="el-GR"/>
        </w:rPr>
      </w:pPr>
      <w:r w:rsidRPr="00506D19">
        <w:rPr>
          <w:rFonts w:cs="Calibri"/>
          <w:b/>
          <w:bCs/>
          <w:color w:val="2E74B5"/>
          <w:sz w:val="24"/>
          <w:szCs w:val="24"/>
          <w:lang w:val="el-GR"/>
        </w:rPr>
        <w:lastRenderedPageBreak/>
        <w:t>ΠΙΝΑΚΑΣ ΠΕΡΙΕΧΟΜΕΝΩΝ</w:t>
      </w:r>
    </w:p>
    <w:p w14:paraId="743F3F5D" w14:textId="77777777" w:rsidR="005D7B65" w:rsidRPr="00F3466E" w:rsidRDefault="005D7B65" w:rsidP="0082650D">
      <w:pPr>
        <w:jc w:val="center"/>
        <w:rPr>
          <w:rFonts w:cs="Calibri"/>
          <w:b/>
          <w:bCs/>
          <w:color w:val="000000"/>
          <w:sz w:val="24"/>
          <w:szCs w:val="24"/>
          <w:lang w:val="el-GR"/>
        </w:rPr>
      </w:pPr>
    </w:p>
    <w:p w14:paraId="396ECFFE" w14:textId="23858FED" w:rsidR="00FB03D5" w:rsidRPr="00F55014" w:rsidRDefault="00372251" w:rsidP="00FB03D5">
      <w:pPr>
        <w:pStyle w:val="TOC1"/>
        <w:rPr>
          <w:rFonts w:cs="Times New Roman"/>
          <w:lang w:eastAsia="el-GR"/>
        </w:rPr>
      </w:pPr>
      <w:r w:rsidRPr="00F3466E">
        <w:fldChar w:fldCharType="begin"/>
      </w:r>
      <w:r w:rsidR="009D0FC1" w:rsidRPr="00F3466E">
        <w:instrText xml:space="preserve"> TOC \o "1-3" \h \z \u </w:instrText>
      </w:r>
      <w:r w:rsidRPr="00F3466E">
        <w:fldChar w:fldCharType="separate"/>
      </w:r>
      <w:hyperlink w:anchor="_Toc483572187" w:history="1">
        <w:r w:rsidR="00FB03D5" w:rsidRPr="00FB03D5">
          <w:rPr>
            <w:rStyle w:val="Hyperlink"/>
            <w:b/>
          </w:rPr>
          <w:t>Προοίμιο</w:t>
        </w:r>
        <w:r w:rsidR="00FB03D5" w:rsidRPr="00FB03D5">
          <w:rPr>
            <w:webHidden/>
          </w:rPr>
          <w:tab/>
        </w:r>
        <w:r w:rsidRPr="00FB03D5">
          <w:rPr>
            <w:webHidden/>
          </w:rPr>
          <w:fldChar w:fldCharType="begin"/>
        </w:r>
        <w:r w:rsidR="00FB03D5" w:rsidRPr="00FB03D5">
          <w:rPr>
            <w:webHidden/>
          </w:rPr>
          <w:instrText xml:space="preserve"> PAGEREF _Toc483572187 \h </w:instrText>
        </w:r>
        <w:r w:rsidRPr="00FB03D5">
          <w:rPr>
            <w:webHidden/>
          </w:rPr>
        </w:r>
        <w:r w:rsidRPr="00FB03D5">
          <w:rPr>
            <w:webHidden/>
          </w:rPr>
          <w:fldChar w:fldCharType="separate"/>
        </w:r>
        <w:r w:rsidR="00C32E5D">
          <w:rPr>
            <w:webHidden/>
          </w:rPr>
          <w:t>1</w:t>
        </w:r>
        <w:r w:rsidRPr="00FB03D5">
          <w:rPr>
            <w:webHidden/>
          </w:rPr>
          <w:fldChar w:fldCharType="end"/>
        </w:r>
      </w:hyperlink>
    </w:p>
    <w:p w14:paraId="6B2E0AD4" w14:textId="272BAD83" w:rsidR="00FB03D5" w:rsidRPr="00F55014" w:rsidRDefault="004003A3" w:rsidP="00FB03D5">
      <w:pPr>
        <w:pStyle w:val="TOC1"/>
        <w:rPr>
          <w:rFonts w:cs="Times New Roman"/>
          <w:lang w:eastAsia="el-GR"/>
        </w:rPr>
      </w:pPr>
      <w:hyperlink w:anchor="_Toc483572188" w:history="1">
        <w:r w:rsidR="00FB03D5" w:rsidRPr="00FB03D5">
          <w:rPr>
            <w:rStyle w:val="Hyperlink"/>
            <w:b/>
          </w:rPr>
          <w:t>ΜΕΡΟΣ Ι:</w:t>
        </w:r>
        <w:r w:rsidR="00FB03D5" w:rsidRPr="00FB03D5">
          <w:rPr>
            <w:rStyle w:val="Hyperlink"/>
            <w:b/>
            <w:caps/>
          </w:rPr>
          <w:t xml:space="preserve"> Πληροφορίες και αξιολόγηση που απαιτούνται για όλα τα ευρωπαϊκά διαρθρωτικά και επενδυτικά ταμεία (ΕΔΕΤ)</w:t>
        </w:r>
        <w:r w:rsidR="00FB03D5" w:rsidRPr="00FB03D5">
          <w:rPr>
            <w:webHidden/>
          </w:rPr>
          <w:tab/>
        </w:r>
        <w:r w:rsidR="00372251" w:rsidRPr="00FB03D5">
          <w:rPr>
            <w:webHidden/>
          </w:rPr>
          <w:fldChar w:fldCharType="begin"/>
        </w:r>
        <w:r w:rsidR="00FB03D5" w:rsidRPr="00FB03D5">
          <w:rPr>
            <w:webHidden/>
          </w:rPr>
          <w:instrText xml:space="preserve"> PAGEREF _Toc483572188 \h </w:instrText>
        </w:r>
        <w:r w:rsidR="00372251" w:rsidRPr="00FB03D5">
          <w:rPr>
            <w:webHidden/>
          </w:rPr>
        </w:r>
        <w:r w:rsidR="00372251" w:rsidRPr="00FB03D5">
          <w:rPr>
            <w:webHidden/>
          </w:rPr>
          <w:fldChar w:fldCharType="separate"/>
        </w:r>
        <w:r w:rsidR="00C32E5D">
          <w:rPr>
            <w:webHidden/>
          </w:rPr>
          <w:t>2</w:t>
        </w:r>
        <w:r w:rsidR="00372251" w:rsidRPr="00FB03D5">
          <w:rPr>
            <w:webHidden/>
          </w:rPr>
          <w:fldChar w:fldCharType="end"/>
        </w:r>
      </w:hyperlink>
    </w:p>
    <w:p w14:paraId="606252C3" w14:textId="4127CD48" w:rsidR="00FB03D5" w:rsidRPr="00F55014" w:rsidRDefault="004003A3" w:rsidP="00FB03D5">
      <w:pPr>
        <w:pStyle w:val="TOC1"/>
        <w:rPr>
          <w:rFonts w:cs="Times New Roman"/>
          <w:lang w:eastAsia="el-GR"/>
        </w:rPr>
      </w:pPr>
      <w:hyperlink w:anchor="_Toc483572189" w:history="1">
        <w:r w:rsidR="00FB03D5" w:rsidRPr="00FB03D5">
          <w:rPr>
            <w:rStyle w:val="Hyperlink"/>
            <w:caps/>
          </w:rPr>
          <w:t>1.</w:t>
        </w:r>
        <w:r w:rsidR="00FB03D5" w:rsidRPr="00F55014">
          <w:rPr>
            <w:rFonts w:cs="Times New Roman"/>
            <w:lang w:eastAsia="el-GR"/>
          </w:rPr>
          <w:tab/>
        </w:r>
        <w:r w:rsidR="00FB03D5" w:rsidRPr="00FB03D5">
          <w:rPr>
            <w:rStyle w:val="Hyperlink"/>
            <w:caps/>
          </w:rPr>
          <w:t>Αλλαγές στις αναπτυξιακές ανάγκες του κράτους μέλους από τη σύναψη τ</w:t>
        </w:r>
        <w:r w:rsidR="003D1B02">
          <w:rPr>
            <w:rStyle w:val="Hyperlink"/>
            <w:caps/>
          </w:rPr>
          <w:t>ΗΣ</w:t>
        </w:r>
        <w:r w:rsidR="00FB03D5" w:rsidRPr="00FB03D5">
          <w:rPr>
            <w:rStyle w:val="Hyperlink"/>
            <w:caps/>
          </w:rPr>
          <w:t xml:space="preserve"> συμφών</w:t>
        </w:r>
        <w:r w:rsidR="003D1B02">
          <w:rPr>
            <w:rStyle w:val="Hyperlink"/>
            <w:caps/>
          </w:rPr>
          <w:t>ΙΑΣ</w:t>
        </w:r>
        <w:r w:rsidR="00FB03D5" w:rsidRPr="00FB03D5">
          <w:rPr>
            <w:rStyle w:val="Hyperlink"/>
            <w:caps/>
          </w:rPr>
          <w:t xml:space="preserve"> εταιρικής σχέσης</w:t>
        </w:r>
        <w:r w:rsidR="00FB03D5" w:rsidRPr="00FB03D5">
          <w:rPr>
            <w:webHidden/>
          </w:rPr>
          <w:tab/>
        </w:r>
        <w:r w:rsidR="00372251" w:rsidRPr="00FB03D5">
          <w:rPr>
            <w:webHidden/>
          </w:rPr>
          <w:fldChar w:fldCharType="begin"/>
        </w:r>
        <w:r w:rsidR="00FB03D5" w:rsidRPr="00FB03D5">
          <w:rPr>
            <w:webHidden/>
          </w:rPr>
          <w:instrText xml:space="preserve"> PAGEREF _Toc483572189 \h </w:instrText>
        </w:r>
        <w:r w:rsidR="00372251" w:rsidRPr="00FB03D5">
          <w:rPr>
            <w:webHidden/>
          </w:rPr>
        </w:r>
        <w:r w:rsidR="00372251" w:rsidRPr="00FB03D5">
          <w:rPr>
            <w:webHidden/>
          </w:rPr>
          <w:fldChar w:fldCharType="separate"/>
        </w:r>
        <w:r w:rsidR="00C32E5D">
          <w:rPr>
            <w:webHidden/>
          </w:rPr>
          <w:t>2</w:t>
        </w:r>
        <w:r w:rsidR="00372251" w:rsidRPr="00FB03D5">
          <w:rPr>
            <w:webHidden/>
          </w:rPr>
          <w:fldChar w:fldCharType="end"/>
        </w:r>
      </w:hyperlink>
    </w:p>
    <w:p w14:paraId="370DE479" w14:textId="2EC1C747" w:rsidR="00FB03D5" w:rsidRPr="00F55014" w:rsidRDefault="004003A3" w:rsidP="00FB03D5">
      <w:pPr>
        <w:pStyle w:val="TOC1"/>
        <w:rPr>
          <w:rFonts w:cs="Times New Roman"/>
          <w:lang w:eastAsia="el-GR"/>
        </w:rPr>
      </w:pPr>
      <w:hyperlink w:anchor="_Toc483572190" w:history="1">
        <w:r w:rsidR="00FB03D5" w:rsidRPr="00FB03D5">
          <w:rPr>
            <w:rStyle w:val="Hyperlink"/>
            <w:caps/>
          </w:rPr>
          <w:t>2.</w:t>
        </w:r>
        <w:r w:rsidR="00FB03D5" w:rsidRPr="00F55014">
          <w:rPr>
            <w:rFonts w:cs="Times New Roman"/>
            <w:lang w:eastAsia="el-GR"/>
          </w:rPr>
          <w:tab/>
        </w:r>
        <w:r w:rsidR="00FB03D5" w:rsidRPr="00FB03D5">
          <w:rPr>
            <w:rStyle w:val="Hyperlink"/>
            <w:caps/>
          </w:rPr>
          <w:t xml:space="preserve">Πρόοδος προς την επίτευξη της στρατηγικής της </w:t>
        </w:r>
        <w:r w:rsidR="003D1B02">
          <w:rPr>
            <w:rStyle w:val="Hyperlink"/>
            <w:caps/>
          </w:rPr>
          <w:t>Ε</w:t>
        </w:r>
        <w:r w:rsidR="00FB03D5" w:rsidRPr="00FB03D5">
          <w:rPr>
            <w:rStyle w:val="Hyperlink"/>
            <w:caps/>
          </w:rPr>
          <w:t>νωσης για μια έξυπνη, διατηρήσιμη και χωρίς αποκλεισμούς ανάπτυξη, καθώς και των ειδικών ανά ταμείο αποστόλων, μέσω της συμβολής των ΕΔΕΤ στους επιλεγμένους θεματικούς στόχους, ιδίως όσον άφορα τα καθορισθέντα ορόσημα στο πλαίσιο επιδόσεων για κάθε πρόγραμμα και τη στήριξη που χρησιμοποιήθηκε για τους στόχους της κλιματικής αλλαγής</w:t>
        </w:r>
        <w:r w:rsidR="00FB03D5" w:rsidRPr="00FB03D5">
          <w:rPr>
            <w:webHidden/>
          </w:rPr>
          <w:tab/>
        </w:r>
        <w:r w:rsidR="00372251" w:rsidRPr="00FB03D5">
          <w:rPr>
            <w:webHidden/>
          </w:rPr>
          <w:fldChar w:fldCharType="begin"/>
        </w:r>
        <w:r w:rsidR="00FB03D5" w:rsidRPr="00FB03D5">
          <w:rPr>
            <w:webHidden/>
          </w:rPr>
          <w:instrText xml:space="preserve"> PAGEREF _Toc483572190 \h </w:instrText>
        </w:r>
        <w:r w:rsidR="00372251" w:rsidRPr="00FB03D5">
          <w:rPr>
            <w:webHidden/>
          </w:rPr>
        </w:r>
        <w:r w:rsidR="00372251" w:rsidRPr="00FB03D5">
          <w:rPr>
            <w:webHidden/>
          </w:rPr>
          <w:fldChar w:fldCharType="separate"/>
        </w:r>
        <w:r w:rsidR="00C32E5D">
          <w:rPr>
            <w:webHidden/>
          </w:rPr>
          <w:t>11</w:t>
        </w:r>
        <w:r w:rsidR="00372251" w:rsidRPr="00FB03D5">
          <w:rPr>
            <w:webHidden/>
          </w:rPr>
          <w:fldChar w:fldCharType="end"/>
        </w:r>
      </w:hyperlink>
    </w:p>
    <w:p w14:paraId="2B02C36F" w14:textId="194CFADB" w:rsidR="00FB03D5" w:rsidRPr="00F55014" w:rsidRDefault="004003A3" w:rsidP="00FB03D5">
      <w:pPr>
        <w:pStyle w:val="TOC1"/>
        <w:rPr>
          <w:rFonts w:cs="Times New Roman"/>
          <w:lang w:eastAsia="el-GR"/>
        </w:rPr>
      </w:pPr>
      <w:hyperlink w:anchor="_Toc483572191" w:history="1">
        <w:r w:rsidR="00FB03D5" w:rsidRPr="00FB03D5">
          <w:rPr>
            <w:rStyle w:val="Hyperlink"/>
          </w:rPr>
          <w:t>3.</w:t>
        </w:r>
        <w:r w:rsidR="00FB03D5" w:rsidRPr="00F55014">
          <w:rPr>
            <w:rFonts w:cs="Times New Roman"/>
            <w:lang w:eastAsia="el-GR"/>
          </w:rPr>
          <w:tab/>
        </w:r>
        <w:r w:rsidR="00FB03D5" w:rsidRPr="00FB03D5">
          <w:rPr>
            <w:rStyle w:val="Hyperlink"/>
            <w:caps/>
          </w:rPr>
          <w:t>Μέτρα που λήφθηκαν για την τήρηση των εκ των προτέρων αιρ</w:t>
        </w:r>
        <w:r w:rsidR="003D1B02">
          <w:rPr>
            <w:rStyle w:val="Hyperlink"/>
            <w:caps/>
          </w:rPr>
          <w:t>εσιμοτήτων που διατυπώνονται στΗ</w:t>
        </w:r>
        <w:r w:rsidR="00FB03D5" w:rsidRPr="00FB03D5">
          <w:rPr>
            <w:rStyle w:val="Hyperlink"/>
            <w:caps/>
          </w:rPr>
          <w:t xml:space="preserve"> σύμφων</w:t>
        </w:r>
        <w:r w:rsidR="003D1B02">
          <w:rPr>
            <w:rStyle w:val="Hyperlink"/>
            <w:caps/>
          </w:rPr>
          <w:t>ΙΑ</w:t>
        </w:r>
        <w:r w:rsidR="00FB03D5" w:rsidRPr="00FB03D5">
          <w:rPr>
            <w:rStyle w:val="Hyperlink"/>
            <w:caps/>
          </w:rPr>
          <w:t xml:space="preserve"> εταιρικής σχέσης</w:t>
        </w:r>
        <w:r w:rsidR="00FB03D5" w:rsidRPr="00FB03D5">
          <w:rPr>
            <w:webHidden/>
          </w:rPr>
          <w:tab/>
        </w:r>
        <w:r w:rsidR="00372251" w:rsidRPr="00FB03D5">
          <w:rPr>
            <w:webHidden/>
          </w:rPr>
          <w:fldChar w:fldCharType="begin"/>
        </w:r>
        <w:r w:rsidR="00FB03D5" w:rsidRPr="00FB03D5">
          <w:rPr>
            <w:webHidden/>
          </w:rPr>
          <w:instrText xml:space="preserve"> PAGEREF _Toc483572191 \h </w:instrText>
        </w:r>
        <w:r w:rsidR="00372251" w:rsidRPr="00FB03D5">
          <w:rPr>
            <w:webHidden/>
          </w:rPr>
        </w:r>
        <w:r w:rsidR="00372251" w:rsidRPr="00FB03D5">
          <w:rPr>
            <w:webHidden/>
          </w:rPr>
          <w:fldChar w:fldCharType="separate"/>
        </w:r>
        <w:r w:rsidR="00C32E5D">
          <w:rPr>
            <w:webHidden/>
          </w:rPr>
          <w:t>42</w:t>
        </w:r>
        <w:r w:rsidR="00372251" w:rsidRPr="00FB03D5">
          <w:rPr>
            <w:webHidden/>
          </w:rPr>
          <w:fldChar w:fldCharType="end"/>
        </w:r>
      </w:hyperlink>
    </w:p>
    <w:p w14:paraId="24104C1F" w14:textId="4873EACE" w:rsidR="00FB03D5" w:rsidRPr="00F55014" w:rsidRDefault="004003A3" w:rsidP="00FB03D5">
      <w:pPr>
        <w:pStyle w:val="TOC1"/>
        <w:rPr>
          <w:rFonts w:cs="Times New Roman"/>
          <w:lang w:eastAsia="el-GR"/>
        </w:rPr>
      </w:pPr>
      <w:hyperlink w:anchor="_Toc483572192" w:history="1">
        <w:r w:rsidR="00FB03D5" w:rsidRPr="00FB03D5">
          <w:rPr>
            <w:rStyle w:val="Hyperlink"/>
          </w:rPr>
          <w:t>4.</w:t>
        </w:r>
        <w:r w:rsidR="00FB03D5" w:rsidRPr="00F55014">
          <w:rPr>
            <w:rFonts w:cs="Times New Roman"/>
            <w:lang w:eastAsia="el-GR"/>
          </w:rPr>
          <w:tab/>
        </w:r>
        <w:r w:rsidR="00FB03D5" w:rsidRPr="00FB03D5">
          <w:rPr>
            <w:rStyle w:val="Hyperlink"/>
            <w:caps/>
          </w:rPr>
          <w:t>Εφαρμογή των μηχανισμών για τη διασφάλιση του συντονισμού μεταξύ των ΕΔΕΤ και άλλων ενωσιακών και εθνικών μέσων χρηματοοικονομικής τεχνικής (χρηματοδοτικών μέσων) και με την Ευρωπαϊκή Τράπεζα Επενδύσεων (ΕΤΕπ)</w:t>
        </w:r>
        <w:r w:rsidR="00FB03D5" w:rsidRPr="00FB03D5">
          <w:rPr>
            <w:webHidden/>
          </w:rPr>
          <w:tab/>
        </w:r>
        <w:r w:rsidR="00372251" w:rsidRPr="00FB03D5">
          <w:rPr>
            <w:webHidden/>
          </w:rPr>
          <w:fldChar w:fldCharType="begin"/>
        </w:r>
        <w:r w:rsidR="00FB03D5" w:rsidRPr="00FB03D5">
          <w:rPr>
            <w:webHidden/>
          </w:rPr>
          <w:instrText xml:space="preserve"> PAGEREF _Toc483572192 \h </w:instrText>
        </w:r>
        <w:r w:rsidR="00372251" w:rsidRPr="00FB03D5">
          <w:rPr>
            <w:webHidden/>
          </w:rPr>
        </w:r>
        <w:r w:rsidR="00372251" w:rsidRPr="00FB03D5">
          <w:rPr>
            <w:webHidden/>
          </w:rPr>
          <w:fldChar w:fldCharType="separate"/>
        </w:r>
        <w:r w:rsidR="00C32E5D">
          <w:rPr>
            <w:webHidden/>
          </w:rPr>
          <w:t>67</w:t>
        </w:r>
        <w:r w:rsidR="00372251" w:rsidRPr="00FB03D5">
          <w:rPr>
            <w:webHidden/>
          </w:rPr>
          <w:fldChar w:fldCharType="end"/>
        </w:r>
      </w:hyperlink>
    </w:p>
    <w:p w14:paraId="20451017" w14:textId="0CDCE0F8" w:rsidR="00FB03D5" w:rsidRPr="00F55014" w:rsidRDefault="004003A3" w:rsidP="00FB03D5">
      <w:pPr>
        <w:pStyle w:val="TOC1"/>
        <w:rPr>
          <w:rFonts w:cs="Times New Roman"/>
          <w:lang w:eastAsia="el-GR"/>
        </w:rPr>
      </w:pPr>
      <w:hyperlink w:anchor="_Toc483572193" w:history="1">
        <w:r w:rsidR="00FB03D5" w:rsidRPr="00FB03D5">
          <w:rPr>
            <w:rStyle w:val="Hyperlink"/>
          </w:rPr>
          <w:t>5.</w:t>
        </w:r>
        <w:r w:rsidR="00FB03D5" w:rsidRPr="00F55014">
          <w:rPr>
            <w:rFonts w:cs="Times New Roman"/>
            <w:lang w:eastAsia="el-GR"/>
          </w:rPr>
          <w:tab/>
        </w:r>
        <w:r w:rsidR="00FB03D5" w:rsidRPr="00FB03D5">
          <w:rPr>
            <w:rStyle w:val="Hyperlink"/>
            <w:caps/>
          </w:rPr>
          <w:t xml:space="preserve">Εφαρμογή της ολοκληρωμένης προσέγγισης της εδαφικής ανάπτυξης </w:t>
        </w:r>
        <w:r w:rsidR="003D1B02">
          <w:rPr>
            <w:rStyle w:val="Hyperlink"/>
            <w:caps/>
          </w:rPr>
          <w:t>Ή</w:t>
        </w:r>
        <w:r w:rsidR="00FB03D5" w:rsidRPr="00FB03D5">
          <w:rPr>
            <w:rStyle w:val="Hyperlink"/>
            <w:caps/>
          </w:rPr>
          <w:t xml:space="preserve"> συνοπτική παρουσίαση της εφαρμογής των ολοκληρωμένων προσεγγίσεων βάσει των προγραμμάτων, συμπεριλαμβανομένης της προόδου προς την επίτευξη των τομέων προτεραιότητας που καθορίστηκαν για συνεργασία </w:t>
        </w:r>
        <w:r w:rsidR="00FB03D5" w:rsidRPr="00FB03D5">
          <w:rPr>
            <w:webHidden/>
          </w:rPr>
          <w:tab/>
        </w:r>
        <w:r w:rsidR="00372251" w:rsidRPr="00FB03D5">
          <w:rPr>
            <w:webHidden/>
          </w:rPr>
          <w:fldChar w:fldCharType="begin"/>
        </w:r>
        <w:r w:rsidR="00FB03D5" w:rsidRPr="00FB03D5">
          <w:rPr>
            <w:webHidden/>
          </w:rPr>
          <w:instrText xml:space="preserve"> PAGEREF _Toc483572193 \h </w:instrText>
        </w:r>
        <w:r w:rsidR="00372251" w:rsidRPr="00FB03D5">
          <w:rPr>
            <w:webHidden/>
          </w:rPr>
        </w:r>
        <w:r w:rsidR="00372251" w:rsidRPr="00FB03D5">
          <w:rPr>
            <w:webHidden/>
          </w:rPr>
          <w:fldChar w:fldCharType="separate"/>
        </w:r>
        <w:r w:rsidR="00C32E5D">
          <w:rPr>
            <w:webHidden/>
          </w:rPr>
          <w:t>73</w:t>
        </w:r>
        <w:r w:rsidR="00372251" w:rsidRPr="00FB03D5">
          <w:rPr>
            <w:webHidden/>
          </w:rPr>
          <w:fldChar w:fldCharType="end"/>
        </w:r>
      </w:hyperlink>
    </w:p>
    <w:p w14:paraId="1486F922" w14:textId="39932FB5" w:rsidR="00FB03D5" w:rsidRPr="00F55014" w:rsidRDefault="004003A3" w:rsidP="00FB03D5">
      <w:pPr>
        <w:pStyle w:val="TOC1"/>
        <w:rPr>
          <w:rFonts w:cs="Times New Roman"/>
          <w:lang w:eastAsia="el-GR"/>
        </w:rPr>
      </w:pPr>
      <w:hyperlink w:anchor="_Toc483572194" w:history="1">
        <w:r w:rsidR="00FB03D5" w:rsidRPr="00FB03D5">
          <w:rPr>
            <w:rStyle w:val="Hyperlink"/>
          </w:rPr>
          <w:t>6.</w:t>
        </w:r>
        <w:r w:rsidR="00FB03D5" w:rsidRPr="00F55014">
          <w:rPr>
            <w:rFonts w:cs="Times New Roman"/>
            <w:lang w:eastAsia="el-GR"/>
          </w:rPr>
          <w:tab/>
        </w:r>
        <w:r w:rsidR="00FB03D5" w:rsidRPr="00FB03D5">
          <w:rPr>
            <w:rStyle w:val="Hyperlink"/>
            <w:caps/>
          </w:rPr>
          <w:t>Κατά περίπτωση, τα μέτρα που λήφθηκαν για την ενίσχυση της ικανότητας των αρχών του κράτους μέλους και των δικαιούχων να διαχειρίζονται και να χρησιμοποιούν τα ΕΔΕΤ</w:t>
        </w:r>
        <w:r w:rsidR="00FB03D5" w:rsidRPr="00FB03D5">
          <w:rPr>
            <w:webHidden/>
          </w:rPr>
          <w:tab/>
        </w:r>
        <w:r w:rsidR="00372251" w:rsidRPr="00FB03D5">
          <w:rPr>
            <w:webHidden/>
          </w:rPr>
          <w:fldChar w:fldCharType="begin"/>
        </w:r>
        <w:r w:rsidR="00FB03D5" w:rsidRPr="00FB03D5">
          <w:rPr>
            <w:webHidden/>
          </w:rPr>
          <w:instrText xml:space="preserve"> PAGEREF _Toc483572194 \h </w:instrText>
        </w:r>
        <w:r w:rsidR="00372251" w:rsidRPr="00FB03D5">
          <w:rPr>
            <w:webHidden/>
          </w:rPr>
        </w:r>
        <w:r w:rsidR="00372251" w:rsidRPr="00FB03D5">
          <w:rPr>
            <w:webHidden/>
          </w:rPr>
          <w:fldChar w:fldCharType="separate"/>
        </w:r>
        <w:r w:rsidR="00C32E5D">
          <w:rPr>
            <w:webHidden/>
          </w:rPr>
          <w:t>82</w:t>
        </w:r>
        <w:r w:rsidR="00372251" w:rsidRPr="00FB03D5">
          <w:rPr>
            <w:webHidden/>
          </w:rPr>
          <w:fldChar w:fldCharType="end"/>
        </w:r>
      </w:hyperlink>
    </w:p>
    <w:p w14:paraId="1910385D" w14:textId="1C84D92D" w:rsidR="00FB03D5" w:rsidRPr="00F55014" w:rsidRDefault="004003A3" w:rsidP="00FB03D5">
      <w:pPr>
        <w:pStyle w:val="TOC1"/>
        <w:rPr>
          <w:rFonts w:cs="Times New Roman"/>
          <w:lang w:eastAsia="el-GR"/>
        </w:rPr>
      </w:pPr>
      <w:hyperlink w:anchor="_Toc483572195" w:history="1">
        <w:r w:rsidR="00FB03D5" w:rsidRPr="00FB03D5">
          <w:rPr>
            <w:rStyle w:val="Hyperlink"/>
          </w:rPr>
          <w:t>7.</w:t>
        </w:r>
        <w:r w:rsidR="00FB03D5" w:rsidRPr="00F55014">
          <w:rPr>
            <w:rFonts w:cs="Times New Roman"/>
            <w:lang w:eastAsia="el-GR"/>
          </w:rPr>
          <w:tab/>
        </w:r>
        <w:r w:rsidR="00FB03D5" w:rsidRPr="00FB03D5">
          <w:rPr>
            <w:rStyle w:val="Hyperlink"/>
            <w:caps/>
          </w:rPr>
          <w:t xml:space="preserve">Μέτρα που λήφθηκαν και πρόοδος που επιτεύχθηκε όσον αφορά τη μείωση της διοικητικής επιβάρυνσης για τους δικαιούχους </w:t>
        </w:r>
        <w:r w:rsidR="00FB03D5" w:rsidRPr="00FB03D5">
          <w:rPr>
            <w:webHidden/>
          </w:rPr>
          <w:tab/>
        </w:r>
        <w:r w:rsidR="00372251" w:rsidRPr="00FB03D5">
          <w:rPr>
            <w:webHidden/>
          </w:rPr>
          <w:fldChar w:fldCharType="begin"/>
        </w:r>
        <w:r w:rsidR="00FB03D5" w:rsidRPr="00FB03D5">
          <w:rPr>
            <w:webHidden/>
          </w:rPr>
          <w:instrText xml:space="preserve"> PAGEREF _Toc483572195 \h </w:instrText>
        </w:r>
        <w:r w:rsidR="00372251" w:rsidRPr="00FB03D5">
          <w:rPr>
            <w:webHidden/>
          </w:rPr>
        </w:r>
        <w:r w:rsidR="00372251" w:rsidRPr="00FB03D5">
          <w:rPr>
            <w:webHidden/>
          </w:rPr>
          <w:fldChar w:fldCharType="separate"/>
        </w:r>
        <w:r w:rsidR="00C32E5D">
          <w:rPr>
            <w:webHidden/>
          </w:rPr>
          <w:t>86</w:t>
        </w:r>
        <w:r w:rsidR="00372251" w:rsidRPr="00FB03D5">
          <w:rPr>
            <w:webHidden/>
          </w:rPr>
          <w:fldChar w:fldCharType="end"/>
        </w:r>
      </w:hyperlink>
    </w:p>
    <w:p w14:paraId="1E4F054E" w14:textId="2384E759" w:rsidR="00FB03D5" w:rsidRPr="00F55014" w:rsidRDefault="004003A3" w:rsidP="00FB03D5">
      <w:pPr>
        <w:pStyle w:val="TOC1"/>
        <w:rPr>
          <w:rFonts w:cs="Times New Roman"/>
          <w:lang w:eastAsia="el-GR"/>
        </w:rPr>
      </w:pPr>
      <w:hyperlink w:anchor="_Toc483572196" w:history="1">
        <w:r w:rsidR="00FB03D5" w:rsidRPr="00FB03D5">
          <w:rPr>
            <w:rStyle w:val="Hyperlink"/>
          </w:rPr>
          <w:t>8.</w:t>
        </w:r>
        <w:r w:rsidR="00FB03D5" w:rsidRPr="00F55014">
          <w:rPr>
            <w:rFonts w:cs="Times New Roman"/>
            <w:lang w:eastAsia="el-GR"/>
          </w:rPr>
          <w:tab/>
        </w:r>
        <w:r w:rsidR="00FB03D5" w:rsidRPr="00FB03D5">
          <w:rPr>
            <w:rStyle w:val="Hyperlink"/>
            <w:caps/>
          </w:rPr>
          <w:t>Ο ρόλος των εταίρων που αναφέρονται στο άρθρο 5 του κανονισμού (ΕΕ) αριθ. 1303/2013 κατά την εφαρ</w:t>
        </w:r>
        <w:r w:rsidR="00FB03D5" w:rsidRPr="00FB03D5">
          <w:rPr>
            <w:rStyle w:val="Hyperlink"/>
            <w:caps/>
          </w:rPr>
          <w:t>μ</w:t>
        </w:r>
        <w:r w:rsidR="00FB03D5" w:rsidRPr="00FB03D5">
          <w:rPr>
            <w:rStyle w:val="Hyperlink"/>
            <w:caps/>
          </w:rPr>
          <w:t>ογή τ</w:t>
        </w:r>
        <w:r w:rsidR="003D1B02">
          <w:rPr>
            <w:rStyle w:val="Hyperlink"/>
            <w:caps/>
          </w:rPr>
          <w:t>ΗΣ</w:t>
        </w:r>
        <w:r w:rsidR="00FB03D5" w:rsidRPr="00FB03D5">
          <w:rPr>
            <w:rStyle w:val="Hyperlink"/>
            <w:caps/>
          </w:rPr>
          <w:t xml:space="preserve"> συμφών</w:t>
        </w:r>
        <w:r w:rsidR="003D1B02">
          <w:rPr>
            <w:rStyle w:val="Hyperlink"/>
            <w:caps/>
          </w:rPr>
          <w:t>ΙΑΣ</w:t>
        </w:r>
        <w:r w:rsidR="00FB03D5" w:rsidRPr="00FB03D5">
          <w:rPr>
            <w:rStyle w:val="Hyperlink"/>
            <w:caps/>
          </w:rPr>
          <w:t xml:space="preserve"> εταιρικής σχέσης </w:t>
        </w:r>
        <w:r w:rsidR="00FB03D5" w:rsidRPr="00FB03D5">
          <w:rPr>
            <w:webHidden/>
          </w:rPr>
          <w:tab/>
        </w:r>
        <w:r w:rsidR="00372251" w:rsidRPr="00FB03D5">
          <w:rPr>
            <w:webHidden/>
          </w:rPr>
          <w:fldChar w:fldCharType="begin"/>
        </w:r>
        <w:r w:rsidR="00FB03D5" w:rsidRPr="00FB03D5">
          <w:rPr>
            <w:webHidden/>
          </w:rPr>
          <w:instrText xml:space="preserve"> PAGEREF _Toc483572196 \h </w:instrText>
        </w:r>
        <w:r w:rsidR="00372251" w:rsidRPr="00FB03D5">
          <w:rPr>
            <w:webHidden/>
          </w:rPr>
        </w:r>
        <w:r w:rsidR="00372251" w:rsidRPr="00FB03D5">
          <w:rPr>
            <w:webHidden/>
          </w:rPr>
          <w:fldChar w:fldCharType="separate"/>
        </w:r>
        <w:r w:rsidR="00C32E5D">
          <w:rPr>
            <w:webHidden/>
          </w:rPr>
          <w:t>88</w:t>
        </w:r>
        <w:r w:rsidR="00372251" w:rsidRPr="00FB03D5">
          <w:rPr>
            <w:webHidden/>
          </w:rPr>
          <w:fldChar w:fldCharType="end"/>
        </w:r>
      </w:hyperlink>
    </w:p>
    <w:p w14:paraId="588B39AE" w14:textId="05BD885B" w:rsidR="00FB03D5" w:rsidRPr="00F55014" w:rsidRDefault="004003A3" w:rsidP="00FB03D5">
      <w:pPr>
        <w:pStyle w:val="TOC1"/>
        <w:rPr>
          <w:rFonts w:cs="Times New Roman"/>
          <w:lang w:eastAsia="el-GR"/>
        </w:rPr>
      </w:pPr>
      <w:hyperlink w:anchor="_Toc483572197" w:history="1">
        <w:r w:rsidR="00FB03D5" w:rsidRPr="00FB03D5">
          <w:rPr>
            <w:rStyle w:val="Hyperlink"/>
          </w:rPr>
          <w:t>9.</w:t>
        </w:r>
        <w:r w:rsidR="00FB03D5" w:rsidRPr="00F55014">
          <w:rPr>
            <w:rFonts w:cs="Times New Roman"/>
            <w:lang w:eastAsia="el-GR"/>
          </w:rPr>
          <w:tab/>
        </w:r>
        <w:r w:rsidR="00FB03D5" w:rsidRPr="00FB03D5">
          <w:rPr>
            <w:rStyle w:val="Hyperlink"/>
            <w:caps/>
          </w:rPr>
          <w:t xml:space="preserve">Συνοπτική παρουσίαση των μέτρων που λήφθηκαν σε σχέση με την εφαρμογή των οριζόντιων αρχών και των στόχων πολιτικής για την υλοποίηση των ΕΔΕΤ </w:t>
        </w:r>
        <w:r w:rsidR="00FB03D5" w:rsidRPr="00FB03D5">
          <w:rPr>
            <w:webHidden/>
          </w:rPr>
          <w:tab/>
        </w:r>
        <w:r w:rsidR="00372251" w:rsidRPr="00FB03D5">
          <w:rPr>
            <w:webHidden/>
          </w:rPr>
          <w:fldChar w:fldCharType="begin"/>
        </w:r>
        <w:r w:rsidR="00FB03D5" w:rsidRPr="00FB03D5">
          <w:rPr>
            <w:webHidden/>
          </w:rPr>
          <w:instrText xml:space="preserve"> PAGEREF _Toc483572197 \h </w:instrText>
        </w:r>
        <w:r w:rsidR="00372251" w:rsidRPr="00FB03D5">
          <w:rPr>
            <w:webHidden/>
          </w:rPr>
        </w:r>
        <w:r w:rsidR="00372251" w:rsidRPr="00FB03D5">
          <w:rPr>
            <w:webHidden/>
          </w:rPr>
          <w:fldChar w:fldCharType="separate"/>
        </w:r>
        <w:r w:rsidR="00C32E5D">
          <w:rPr>
            <w:webHidden/>
          </w:rPr>
          <w:t>93</w:t>
        </w:r>
        <w:r w:rsidR="00372251" w:rsidRPr="00FB03D5">
          <w:rPr>
            <w:webHidden/>
          </w:rPr>
          <w:fldChar w:fldCharType="end"/>
        </w:r>
      </w:hyperlink>
    </w:p>
    <w:p w14:paraId="7030B8D3" w14:textId="2F0A9016" w:rsidR="00FB03D5" w:rsidRPr="00F55014" w:rsidRDefault="004003A3" w:rsidP="00FB03D5">
      <w:pPr>
        <w:pStyle w:val="TOC1"/>
        <w:rPr>
          <w:rFonts w:cs="Times New Roman"/>
          <w:lang w:eastAsia="el-GR"/>
        </w:rPr>
      </w:pPr>
      <w:hyperlink w:anchor="_Toc483572198" w:history="1">
        <w:r w:rsidR="00FB03D5" w:rsidRPr="00671365">
          <w:rPr>
            <w:rStyle w:val="Hyperlink"/>
            <w:b/>
          </w:rPr>
          <w:t xml:space="preserve">ΜΕΡΟΣ ΙΙ: </w:t>
        </w:r>
        <w:r w:rsidR="00FB03D5" w:rsidRPr="00671365">
          <w:rPr>
            <w:rStyle w:val="Hyperlink"/>
            <w:b/>
            <w:caps/>
          </w:rPr>
          <w:t>Πληροφορίες και αξιολόγηση σχετικά με την Πρωτοβουλία για την Απασχόληση των Νέων</w:t>
        </w:r>
        <w:r w:rsidR="00FB03D5" w:rsidRPr="00FB03D5">
          <w:rPr>
            <w:webHidden/>
          </w:rPr>
          <w:tab/>
        </w:r>
        <w:r w:rsidR="00372251" w:rsidRPr="00FB03D5">
          <w:rPr>
            <w:webHidden/>
          </w:rPr>
          <w:fldChar w:fldCharType="begin"/>
        </w:r>
        <w:r w:rsidR="00FB03D5" w:rsidRPr="00FB03D5">
          <w:rPr>
            <w:webHidden/>
          </w:rPr>
          <w:instrText xml:space="preserve"> PAGEREF _Toc483572198 \h </w:instrText>
        </w:r>
        <w:r w:rsidR="00372251" w:rsidRPr="00FB03D5">
          <w:rPr>
            <w:webHidden/>
          </w:rPr>
        </w:r>
        <w:r w:rsidR="00372251" w:rsidRPr="00FB03D5">
          <w:rPr>
            <w:webHidden/>
          </w:rPr>
          <w:fldChar w:fldCharType="separate"/>
        </w:r>
        <w:r w:rsidR="00C32E5D">
          <w:rPr>
            <w:webHidden/>
          </w:rPr>
          <w:t>99</w:t>
        </w:r>
        <w:r w:rsidR="00372251" w:rsidRPr="00FB03D5">
          <w:rPr>
            <w:webHidden/>
          </w:rPr>
          <w:fldChar w:fldCharType="end"/>
        </w:r>
      </w:hyperlink>
    </w:p>
    <w:p w14:paraId="182F7715" w14:textId="77FDC440" w:rsidR="00FB03D5" w:rsidRPr="00F55014" w:rsidRDefault="004003A3" w:rsidP="00FB03D5">
      <w:pPr>
        <w:pStyle w:val="TOC1"/>
        <w:rPr>
          <w:rFonts w:cs="Times New Roman"/>
          <w:lang w:eastAsia="el-GR"/>
        </w:rPr>
      </w:pPr>
      <w:hyperlink w:anchor="_Toc483572199" w:history="1">
        <w:r w:rsidR="00FB03D5" w:rsidRPr="00FB03D5">
          <w:rPr>
            <w:rStyle w:val="Hyperlink"/>
          </w:rPr>
          <w:t>10.</w:t>
        </w:r>
        <w:r w:rsidR="00FB03D5" w:rsidRPr="00F55014">
          <w:rPr>
            <w:rFonts w:cs="Times New Roman"/>
            <w:lang w:eastAsia="el-GR"/>
          </w:rPr>
          <w:tab/>
        </w:r>
        <w:r w:rsidR="00FB03D5" w:rsidRPr="00FB03D5">
          <w:rPr>
            <w:rStyle w:val="Hyperlink"/>
            <w:caps/>
          </w:rPr>
          <w:t xml:space="preserve">Υλοποίηση της ΠΑΝ </w:t>
        </w:r>
        <w:r w:rsidR="00FB03D5" w:rsidRPr="00FB03D5">
          <w:rPr>
            <w:webHidden/>
          </w:rPr>
          <w:tab/>
        </w:r>
        <w:r w:rsidR="00372251" w:rsidRPr="00FB03D5">
          <w:rPr>
            <w:webHidden/>
          </w:rPr>
          <w:fldChar w:fldCharType="begin"/>
        </w:r>
        <w:r w:rsidR="00FB03D5" w:rsidRPr="00FB03D5">
          <w:rPr>
            <w:webHidden/>
          </w:rPr>
          <w:instrText xml:space="preserve"> PAGEREF _Toc483572199 \h </w:instrText>
        </w:r>
        <w:r w:rsidR="00372251" w:rsidRPr="00FB03D5">
          <w:rPr>
            <w:webHidden/>
          </w:rPr>
        </w:r>
        <w:r w:rsidR="00372251" w:rsidRPr="00FB03D5">
          <w:rPr>
            <w:webHidden/>
          </w:rPr>
          <w:fldChar w:fldCharType="separate"/>
        </w:r>
        <w:r w:rsidR="00C32E5D">
          <w:rPr>
            <w:webHidden/>
          </w:rPr>
          <w:t>99</w:t>
        </w:r>
        <w:r w:rsidR="00372251" w:rsidRPr="00FB03D5">
          <w:rPr>
            <w:webHidden/>
          </w:rPr>
          <w:fldChar w:fldCharType="end"/>
        </w:r>
      </w:hyperlink>
    </w:p>
    <w:p w14:paraId="6FF820FD" w14:textId="259C7671" w:rsidR="00FB03D5" w:rsidRPr="00F55014" w:rsidRDefault="004003A3" w:rsidP="00FB03D5">
      <w:pPr>
        <w:pStyle w:val="TOC1"/>
        <w:rPr>
          <w:rFonts w:cs="Times New Roman"/>
          <w:lang w:eastAsia="el-GR"/>
        </w:rPr>
      </w:pPr>
      <w:hyperlink w:anchor="_Toc483572200" w:history="1">
        <w:r w:rsidR="00FB03D5" w:rsidRPr="00FB03D5">
          <w:rPr>
            <w:rStyle w:val="Hyperlink"/>
            <w:b/>
          </w:rPr>
          <w:t xml:space="preserve">ΜΕΡΟΣ ΙΙΙ: </w:t>
        </w:r>
        <w:r w:rsidR="00FB03D5" w:rsidRPr="00FB03D5">
          <w:rPr>
            <w:rStyle w:val="Hyperlink"/>
            <w:b/>
            <w:caps/>
          </w:rPr>
          <w:t xml:space="preserve">Πληροφορίες και αξιολόγηση που πρέπει να παρέχονται για την πολιτική συνοχής σε περίπτωση που γίνεται χρήση της δυνατότητας που προβλέπεται στο άρθρο 111 παράγραφος 4 του κανονισμού (ΕΕ) αριθ. 1303/2013 για την ένταξη στην έκθεση προόδου ορισμένων </w:t>
        </w:r>
        <w:r w:rsidR="00FB03D5" w:rsidRPr="00FB03D5">
          <w:rPr>
            <w:rStyle w:val="Hyperlink"/>
            <w:b/>
            <w:caps/>
          </w:rPr>
          <w:lastRenderedPageBreak/>
          <w:t>στοιχείων των ετήσιων εκθέσεων υλοποίησης, οι οποίες πρέπει να υποβληθούν το 2017 και το 2019</w:t>
        </w:r>
        <w:r w:rsidR="00FB03D5" w:rsidRPr="00FB03D5">
          <w:rPr>
            <w:webHidden/>
          </w:rPr>
          <w:tab/>
        </w:r>
        <w:r w:rsidR="00372251" w:rsidRPr="00FB03D5">
          <w:rPr>
            <w:webHidden/>
          </w:rPr>
          <w:fldChar w:fldCharType="begin"/>
        </w:r>
        <w:r w:rsidR="00FB03D5" w:rsidRPr="00FB03D5">
          <w:rPr>
            <w:webHidden/>
          </w:rPr>
          <w:instrText xml:space="preserve"> PAGEREF _Toc483572200 \h </w:instrText>
        </w:r>
        <w:r w:rsidR="00372251" w:rsidRPr="00FB03D5">
          <w:rPr>
            <w:webHidden/>
          </w:rPr>
        </w:r>
        <w:r w:rsidR="00372251" w:rsidRPr="00FB03D5">
          <w:rPr>
            <w:webHidden/>
          </w:rPr>
          <w:fldChar w:fldCharType="separate"/>
        </w:r>
        <w:r w:rsidR="00C32E5D">
          <w:rPr>
            <w:webHidden/>
          </w:rPr>
          <w:t>104</w:t>
        </w:r>
        <w:r w:rsidR="00372251" w:rsidRPr="00FB03D5">
          <w:rPr>
            <w:webHidden/>
          </w:rPr>
          <w:fldChar w:fldCharType="end"/>
        </w:r>
      </w:hyperlink>
    </w:p>
    <w:p w14:paraId="1D168B3D" w14:textId="18B7E2FA" w:rsidR="00FB03D5" w:rsidRPr="00F55014" w:rsidRDefault="004003A3" w:rsidP="00FB03D5">
      <w:pPr>
        <w:pStyle w:val="TOC1"/>
        <w:rPr>
          <w:rFonts w:cs="Times New Roman"/>
          <w:lang w:eastAsia="el-GR"/>
        </w:rPr>
      </w:pPr>
      <w:hyperlink w:anchor="_Toc483572201" w:history="1">
        <w:r w:rsidR="00FB03D5" w:rsidRPr="002D636E">
          <w:rPr>
            <w:rStyle w:val="Hyperlink"/>
            <w:caps/>
          </w:rPr>
          <w:t>11.</w:t>
        </w:r>
        <w:r w:rsidR="00FB03D5" w:rsidRPr="00F55014">
          <w:rPr>
            <w:rFonts w:cs="Times New Roman"/>
            <w:lang w:eastAsia="el-GR"/>
          </w:rPr>
          <w:tab/>
        </w:r>
        <w:r w:rsidR="00FB03D5" w:rsidRPr="002D636E">
          <w:rPr>
            <w:rStyle w:val="Hyperlink"/>
            <w:caps/>
          </w:rPr>
          <w:t>Συμπληρωματικές πληροφορίες και αξιολόγηση που μπορούν να προστεθούν, ανάλογα με το περιεχόμενο και τους στόχους του επιχειρησιακού προγράμματος</w:t>
        </w:r>
        <w:r w:rsidR="00FB03D5">
          <w:rPr>
            <w:webHidden/>
          </w:rPr>
          <w:tab/>
        </w:r>
        <w:r w:rsidR="00372251">
          <w:rPr>
            <w:webHidden/>
          </w:rPr>
          <w:fldChar w:fldCharType="begin"/>
        </w:r>
        <w:r w:rsidR="00FB03D5">
          <w:rPr>
            <w:webHidden/>
          </w:rPr>
          <w:instrText xml:space="preserve"> PAGEREF _Toc483572201 \h </w:instrText>
        </w:r>
        <w:r w:rsidR="00372251">
          <w:rPr>
            <w:webHidden/>
          </w:rPr>
        </w:r>
        <w:r w:rsidR="00372251">
          <w:rPr>
            <w:webHidden/>
          </w:rPr>
          <w:fldChar w:fldCharType="separate"/>
        </w:r>
        <w:r w:rsidR="00C32E5D">
          <w:rPr>
            <w:webHidden/>
          </w:rPr>
          <w:t>104</w:t>
        </w:r>
        <w:r w:rsidR="00372251">
          <w:rPr>
            <w:webHidden/>
          </w:rPr>
          <w:fldChar w:fldCharType="end"/>
        </w:r>
      </w:hyperlink>
    </w:p>
    <w:p w14:paraId="04E86A6C" w14:textId="149ACADD" w:rsidR="00FB03D5" w:rsidRPr="00F55014" w:rsidRDefault="004003A3">
      <w:pPr>
        <w:pStyle w:val="TOC2"/>
        <w:rPr>
          <w:noProof/>
          <w:lang w:val="el-GR" w:eastAsia="el-GR"/>
        </w:rPr>
      </w:pPr>
      <w:hyperlink w:anchor="_Toc483572202" w:history="1">
        <w:r w:rsidR="00FB03D5" w:rsidRPr="002D636E">
          <w:rPr>
            <w:rStyle w:val="Hyperlink"/>
            <w:noProof/>
            <w:lang w:val="el-GR"/>
          </w:rPr>
          <w:t>11.1.</w:t>
        </w:r>
        <w:r w:rsidR="00FB03D5" w:rsidRPr="00F55014">
          <w:rPr>
            <w:noProof/>
            <w:lang w:val="el-GR" w:eastAsia="el-GR"/>
          </w:rPr>
          <w:tab/>
        </w:r>
        <w:r w:rsidR="00FB03D5" w:rsidRPr="002D636E">
          <w:rPr>
            <w:rStyle w:val="Hyperlink"/>
            <w:noProof/>
            <w:lang w:val="el-GR"/>
          </w:rPr>
          <w:t>Πρόοδος της εφαρμογής της ολοκληρωμένης προσέγγισης της εδαφικής ανάπτυξης, περιλαμβανομένης της ανάπτυξης περιφερειών που αντιμετωπίζουν δημογραφικές προκλήσεις και μόνιμα ή φυσικά προβλήματα, της βιώσιμης αστικής ανάπτυξης και της τοπικής ανάπτυξης με πρωτοβουλία των τοπικών κοινοτήτων στο πλαίσιο του επιχειρησιακού προγράμματος.</w:t>
        </w:r>
        <w:r w:rsidR="00FB03D5">
          <w:rPr>
            <w:noProof/>
            <w:webHidden/>
          </w:rPr>
          <w:tab/>
        </w:r>
        <w:r w:rsidR="00372251">
          <w:rPr>
            <w:noProof/>
            <w:webHidden/>
          </w:rPr>
          <w:fldChar w:fldCharType="begin"/>
        </w:r>
        <w:r w:rsidR="00FB03D5">
          <w:rPr>
            <w:noProof/>
            <w:webHidden/>
          </w:rPr>
          <w:instrText xml:space="preserve"> PAGEREF _Toc483572202 \h </w:instrText>
        </w:r>
        <w:r w:rsidR="00372251">
          <w:rPr>
            <w:noProof/>
            <w:webHidden/>
          </w:rPr>
        </w:r>
        <w:r w:rsidR="00372251">
          <w:rPr>
            <w:noProof/>
            <w:webHidden/>
          </w:rPr>
          <w:fldChar w:fldCharType="separate"/>
        </w:r>
        <w:r w:rsidR="00C32E5D">
          <w:rPr>
            <w:noProof/>
            <w:webHidden/>
          </w:rPr>
          <w:t>104</w:t>
        </w:r>
        <w:r w:rsidR="00372251">
          <w:rPr>
            <w:noProof/>
            <w:webHidden/>
          </w:rPr>
          <w:fldChar w:fldCharType="end"/>
        </w:r>
      </w:hyperlink>
    </w:p>
    <w:p w14:paraId="63475ABE" w14:textId="5DDF967F" w:rsidR="00FB03D5" w:rsidRPr="00F55014" w:rsidRDefault="004003A3">
      <w:pPr>
        <w:pStyle w:val="TOC2"/>
        <w:rPr>
          <w:noProof/>
          <w:lang w:val="el-GR" w:eastAsia="el-GR"/>
        </w:rPr>
      </w:pPr>
      <w:hyperlink w:anchor="_Toc483572203" w:history="1">
        <w:r w:rsidR="00FB03D5" w:rsidRPr="002D636E">
          <w:rPr>
            <w:rStyle w:val="Hyperlink"/>
            <w:noProof/>
            <w:lang w:val="el-GR"/>
          </w:rPr>
          <w:t>11.2.</w:t>
        </w:r>
        <w:r w:rsidR="00FB03D5" w:rsidRPr="00F55014">
          <w:rPr>
            <w:noProof/>
            <w:lang w:val="el-GR" w:eastAsia="el-GR"/>
          </w:rPr>
          <w:tab/>
        </w:r>
        <w:r w:rsidR="00FB03D5" w:rsidRPr="002D636E">
          <w:rPr>
            <w:rStyle w:val="Hyperlink"/>
            <w:noProof/>
            <w:lang w:val="el-GR"/>
          </w:rPr>
          <w:t>Πρόοδος της υλοποίησης των δράσεων για την ενίσχυση της ικανότητας των αρχών του κράτους μέλους και των δικαιούχων να διαχειρίζονται και να χρησιμοποιούν τα Ταμεία.</w:t>
        </w:r>
        <w:r w:rsidR="00FB03D5">
          <w:rPr>
            <w:noProof/>
            <w:webHidden/>
          </w:rPr>
          <w:tab/>
        </w:r>
        <w:r w:rsidR="00372251">
          <w:rPr>
            <w:noProof/>
            <w:webHidden/>
          </w:rPr>
          <w:fldChar w:fldCharType="begin"/>
        </w:r>
        <w:r w:rsidR="00FB03D5">
          <w:rPr>
            <w:noProof/>
            <w:webHidden/>
          </w:rPr>
          <w:instrText xml:space="preserve"> PAGEREF _Toc483572203 \h </w:instrText>
        </w:r>
        <w:r w:rsidR="00372251">
          <w:rPr>
            <w:noProof/>
            <w:webHidden/>
          </w:rPr>
        </w:r>
        <w:r w:rsidR="00372251">
          <w:rPr>
            <w:noProof/>
            <w:webHidden/>
          </w:rPr>
          <w:fldChar w:fldCharType="separate"/>
        </w:r>
        <w:r w:rsidR="00C32E5D">
          <w:rPr>
            <w:noProof/>
            <w:webHidden/>
          </w:rPr>
          <w:t>105</w:t>
        </w:r>
        <w:r w:rsidR="00372251">
          <w:rPr>
            <w:noProof/>
            <w:webHidden/>
          </w:rPr>
          <w:fldChar w:fldCharType="end"/>
        </w:r>
      </w:hyperlink>
    </w:p>
    <w:p w14:paraId="43711CFD" w14:textId="0A18597E" w:rsidR="00FB03D5" w:rsidRPr="00F55014" w:rsidRDefault="004003A3">
      <w:pPr>
        <w:pStyle w:val="TOC2"/>
        <w:rPr>
          <w:noProof/>
          <w:lang w:val="el-GR" w:eastAsia="el-GR"/>
        </w:rPr>
      </w:pPr>
      <w:hyperlink w:anchor="_Toc483572204" w:history="1">
        <w:r w:rsidR="00FB03D5" w:rsidRPr="002D636E">
          <w:rPr>
            <w:rStyle w:val="Hyperlink"/>
            <w:noProof/>
            <w:lang w:val="el-GR"/>
          </w:rPr>
          <w:t>11.3.</w:t>
        </w:r>
        <w:r w:rsidR="00FB03D5" w:rsidRPr="00F55014">
          <w:rPr>
            <w:noProof/>
            <w:lang w:val="el-GR" w:eastAsia="el-GR"/>
          </w:rPr>
          <w:tab/>
        </w:r>
        <w:r w:rsidR="00FB03D5" w:rsidRPr="002D636E">
          <w:rPr>
            <w:rStyle w:val="Hyperlink"/>
            <w:noProof/>
            <w:lang w:val="el-GR"/>
          </w:rPr>
          <w:t>Πρόοδος της εφαρμογής διαπεριφερειακών και διακρατικών δράσεων.</w:t>
        </w:r>
        <w:r w:rsidR="00FB03D5">
          <w:rPr>
            <w:noProof/>
            <w:webHidden/>
          </w:rPr>
          <w:tab/>
        </w:r>
        <w:r w:rsidR="00372251">
          <w:rPr>
            <w:noProof/>
            <w:webHidden/>
          </w:rPr>
          <w:fldChar w:fldCharType="begin"/>
        </w:r>
        <w:r w:rsidR="00FB03D5">
          <w:rPr>
            <w:noProof/>
            <w:webHidden/>
          </w:rPr>
          <w:instrText xml:space="preserve"> PAGEREF _Toc483572204 \h </w:instrText>
        </w:r>
        <w:r w:rsidR="00372251">
          <w:rPr>
            <w:noProof/>
            <w:webHidden/>
          </w:rPr>
        </w:r>
        <w:r w:rsidR="00372251">
          <w:rPr>
            <w:noProof/>
            <w:webHidden/>
          </w:rPr>
          <w:fldChar w:fldCharType="separate"/>
        </w:r>
        <w:r w:rsidR="00C32E5D">
          <w:rPr>
            <w:noProof/>
            <w:webHidden/>
          </w:rPr>
          <w:t>106</w:t>
        </w:r>
        <w:r w:rsidR="00372251">
          <w:rPr>
            <w:noProof/>
            <w:webHidden/>
          </w:rPr>
          <w:fldChar w:fldCharType="end"/>
        </w:r>
      </w:hyperlink>
    </w:p>
    <w:p w14:paraId="6571FA50" w14:textId="6D0EA0A5" w:rsidR="00FB03D5" w:rsidRPr="00F55014" w:rsidRDefault="004003A3">
      <w:pPr>
        <w:pStyle w:val="TOC2"/>
        <w:rPr>
          <w:noProof/>
          <w:lang w:val="el-GR" w:eastAsia="el-GR"/>
        </w:rPr>
      </w:pPr>
      <w:hyperlink w:anchor="_Toc483572205" w:history="1">
        <w:r w:rsidR="00FB03D5" w:rsidRPr="002D636E">
          <w:rPr>
            <w:rStyle w:val="Hyperlink"/>
            <w:noProof/>
            <w:lang w:val="el-GR"/>
          </w:rPr>
          <w:t>11.4.</w:t>
        </w:r>
        <w:r w:rsidR="00FB03D5" w:rsidRPr="00F55014">
          <w:rPr>
            <w:noProof/>
            <w:lang w:val="el-GR" w:eastAsia="el-GR"/>
          </w:rPr>
          <w:tab/>
        </w:r>
        <w:r w:rsidR="00FB03D5" w:rsidRPr="002D636E">
          <w:rPr>
            <w:rStyle w:val="Hyperlink"/>
            <w:noProof/>
            <w:lang w:val="el-GR"/>
          </w:rPr>
          <w:t>Πρόοδος της εφαρμογής των μέτρων για την αντιμετώπιση ειδικών αναγκών των γεωγραφικών περιοχών που πλήττονται περισσότερο από τη φτώχεια ή στοχευόμενων ομάδων που αντιμετωπίζουν τον υψηλότερο κίνδυνο φτώχειας, διακρίσεων ή κοινωνικού αποκλεισμού, με ειδική μέριμνα για τις περιθωριοποιημένες κοινότητες και τα άτομα με αναπηρίες, τους μακροχρόνια ανέργους και τους νέους χωρίς επαγγελματική δραστηριότητα, συμπεριλαμβανομένων, κατά περίπτωση, των χρησιμοποιούμενων χρηματοδοτικών πόρων.</w:t>
        </w:r>
        <w:r w:rsidR="00FB03D5">
          <w:rPr>
            <w:noProof/>
            <w:webHidden/>
          </w:rPr>
          <w:tab/>
        </w:r>
        <w:r w:rsidR="00372251">
          <w:rPr>
            <w:noProof/>
            <w:webHidden/>
          </w:rPr>
          <w:fldChar w:fldCharType="begin"/>
        </w:r>
        <w:r w:rsidR="00FB03D5">
          <w:rPr>
            <w:noProof/>
            <w:webHidden/>
          </w:rPr>
          <w:instrText xml:space="preserve"> PAGEREF _Toc483572205 \h </w:instrText>
        </w:r>
        <w:r w:rsidR="00372251">
          <w:rPr>
            <w:noProof/>
            <w:webHidden/>
          </w:rPr>
        </w:r>
        <w:r w:rsidR="00372251">
          <w:rPr>
            <w:noProof/>
            <w:webHidden/>
          </w:rPr>
          <w:fldChar w:fldCharType="separate"/>
        </w:r>
        <w:r w:rsidR="00C32E5D">
          <w:rPr>
            <w:noProof/>
            <w:webHidden/>
          </w:rPr>
          <w:t>107</w:t>
        </w:r>
        <w:r w:rsidR="00372251">
          <w:rPr>
            <w:noProof/>
            <w:webHidden/>
          </w:rPr>
          <w:fldChar w:fldCharType="end"/>
        </w:r>
      </w:hyperlink>
    </w:p>
    <w:p w14:paraId="609CB82F" w14:textId="77777777" w:rsidR="00CF0CCA" w:rsidRDefault="00372251">
      <w:pPr>
        <w:rPr>
          <w:rFonts w:cs="Calibri"/>
          <w:lang w:val="el-GR"/>
        </w:rPr>
      </w:pPr>
      <w:r w:rsidRPr="00F3466E">
        <w:rPr>
          <w:rFonts w:cs="Calibri"/>
        </w:rPr>
        <w:fldChar w:fldCharType="end"/>
      </w:r>
      <w:r w:rsidR="00D56DCC" w:rsidRPr="00F3466E">
        <w:rPr>
          <w:rFonts w:cs="Calibri"/>
          <w:lang w:val="el-GR"/>
        </w:rPr>
        <w:t xml:space="preserve"> </w:t>
      </w:r>
    </w:p>
    <w:p w14:paraId="7752DD34" w14:textId="77777777" w:rsidR="003227E1" w:rsidRDefault="003227E1">
      <w:pPr>
        <w:rPr>
          <w:rFonts w:cs="Calibri"/>
          <w:lang w:val="el-GR"/>
        </w:rPr>
      </w:pPr>
    </w:p>
    <w:p w14:paraId="40FD16F1" w14:textId="77777777" w:rsidR="003227E1" w:rsidRDefault="003227E1">
      <w:pPr>
        <w:rPr>
          <w:rFonts w:cs="Calibri"/>
          <w:lang w:val="el-GR"/>
        </w:rPr>
        <w:sectPr w:rsidR="003227E1" w:rsidSect="004B4292">
          <w:headerReference w:type="default" r:id="rId10"/>
          <w:footerReference w:type="default" r:id="rId11"/>
          <w:pgSz w:w="12240" w:h="15840"/>
          <w:pgMar w:top="1418" w:right="1134" w:bottom="1418" w:left="1134" w:header="709" w:footer="709" w:gutter="0"/>
          <w:pgNumType w:fmt="lowerRoman" w:start="1"/>
          <w:cols w:space="708"/>
          <w:docGrid w:linePitch="360"/>
        </w:sectPr>
      </w:pPr>
    </w:p>
    <w:p w14:paraId="4865E98D" w14:textId="77777777" w:rsidR="00F30007" w:rsidRPr="00646444" w:rsidRDefault="00F30007" w:rsidP="004B4292">
      <w:pPr>
        <w:pStyle w:val="Heading1"/>
        <w:numPr>
          <w:ilvl w:val="0"/>
          <w:numId w:val="0"/>
        </w:numPr>
        <w:spacing w:before="0" w:after="200" w:line="276" w:lineRule="auto"/>
        <w:rPr>
          <w:rFonts w:ascii="Calibri" w:hAnsi="Calibri" w:cs="Calibri"/>
          <w:sz w:val="22"/>
          <w:szCs w:val="22"/>
          <w:lang w:val="el-GR"/>
        </w:rPr>
      </w:pPr>
      <w:bookmarkStart w:id="0" w:name="_Toc483572187"/>
      <w:r w:rsidRPr="00646444">
        <w:rPr>
          <w:rFonts w:ascii="Calibri" w:hAnsi="Calibri" w:cs="Calibri"/>
          <w:sz w:val="22"/>
          <w:szCs w:val="22"/>
          <w:lang w:val="el-GR"/>
        </w:rPr>
        <w:lastRenderedPageBreak/>
        <w:t>Προοίμιο</w:t>
      </w:r>
      <w:bookmarkEnd w:id="0"/>
    </w:p>
    <w:p w14:paraId="08BDA370" w14:textId="77777777" w:rsidR="00D71449" w:rsidRDefault="00D71449" w:rsidP="004B4292">
      <w:pPr>
        <w:jc w:val="both"/>
        <w:rPr>
          <w:rFonts w:cs="Calibri"/>
          <w:lang w:val="el-GR"/>
        </w:rPr>
      </w:pPr>
      <w:r w:rsidRPr="004306AE">
        <w:rPr>
          <w:rFonts w:cs="Calibri"/>
          <w:lang w:val="el-GR"/>
        </w:rPr>
        <w:t xml:space="preserve">Η παρούσα  Έκθεση </w:t>
      </w:r>
      <w:r>
        <w:rPr>
          <w:rFonts w:cs="Calibri"/>
          <w:lang w:val="el-GR"/>
        </w:rPr>
        <w:t xml:space="preserve">Προόδου </w:t>
      </w:r>
      <w:bookmarkStart w:id="1" w:name="_Hlk487779931"/>
      <w:r>
        <w:rPr>
          <w:rFonts w:cs="Calibri"/>
          <w:lang w:val="el-GR"/>
        </w:rPr>
        <w:t xml:space="preserve">της Συμφωνίας Εταιρικής Σχέσης 2014-2020 </w:t>
      </w:r>
      <w:bookmarkEnd w:id="1"/>
      <w:r>
        <w:rPr>
          <w:rFonts w:cs="Calibri"/>
          <w:lang w:val="el-GR"/>
        </w:rPr>
        <w:t xml:space="preserve">της Κύπρου </w:t>
      </w:r>
      <w:r w:rsidRPr="004306AE">
        <w:rPr>
          <w:rFonts w:cs="Calibri"/>
          <w:lang w:val="el-GR"/>
        </w:rPr>
        <w:t xml:space="preserve">διέπεται από το άρθρο 52 του </w:t>
      </w:r>
      <w:bookmarkStart w:id="2" w:name="_Hlk487780178"/>
      <w:r w:rsidRPr="004306AE">
        <w:rPr>
          <w:rFonts w:cs="Calibri"/>
          <w:lang w:val="el-GR"/>
        </w:rPr>
        <w:t xml:space="preserve">Κανονισμού (ΕΕ) αριθ. 1303/2013 του Ευρωπαϊκού Κοινοβουλίου και του Συμβουλίου </w:t>
      </w:r>
      <w:bookmarkEnd w:id="2"/>
      <w:r w:rsidRPr="004306AE">
        <w:rPr>
          <w:rFonts w:cs="Calibri"/>
          <w:lang w:val="el-GR"/>
        </w:rPr>
        <w:t xml:space="preserve">και καταρτίζεται σύμφωνα με τα </w:t>
      </w:r>
      <w:r>
        <w:rPr>
          <w:rFonts w:cs="Calibri"/>
          <w:lang w:val="el-GR"/>
        </w:rPr>
        <w:t xml:space="preserve">προβλεπόμενα στο Παράρτημα </w:t>
      </w:r>
      <w:r w:rsidRPr="004306AE">
        <w:rPr>
          <w:rFonts w:cs="Calibri"/>
          <w:lang w:val="el-GR"/>
        </w:rPr>
        <w:t xml:space="preserve">Ι του Εκτελεστικού Κανονισμού (ΕΕ) </w:t>
      </w:r>
      <w:r>
        <w:rPr>
          <w:rFonts w:cs="Calibri"/>
          <w:lang w:val="el-GR"/>
        </w:rPr>
        <w:t xml:space="preserve">αριθ. </w:t>
      </w:r>
      <w:r w:rsidRPr="004306AE">
        <w:rPr>
          <w:rFonts w:cs="Calibri"/>
          <w:lang w:val="el-GR"/>
        </w:rPr>
        <w:t>2015/207 της Επιτροπής «Υπόδειγμα της Έκθεσης Προόδου».</w:t>
      </w:r>
    </w:p>
    <w:p w14:paraId="6E33B1AA" w14:textId="37108CDA" w:rsidR="00D71449" w:rsidRDefault="00D71449" w:rsidP="004B4292">
      <w:pPr>
        <w:jc w:val="both"/>
        <w:rPr>
          <w:rFonts w:cs="Calibri"/>
          <w:lang w:val="el-GR"/>
        </w:rPr>
      </w:pPr>
      <w:r>
        <w:rPr>
          <w:rFonts w:cs="Calibri"/>
          <w:lang w:val="el-GR"/>
        </w:rPr>
        <w:t xml:space="preserve">Καταρτίσθηκε σε συνεργασία με τις Διαχειριστικές Αρχές των Ε.Π. </w:t>
      </w:r>
      <w:bookmarkStart w:id="3" w:name="_Hlk487781631"/>
      <w:r>
        <w:rPr>
          <w:rFonts w:cs="Calibri"/>
          <w:lang w:val="el-GR"/>
        </w:rPr>
        <w:t>«</w:t>
      </w:r>
      <w:r w:rsidRPr="004306AE">
        <w:rPr>
          <w:rFonts w:cs="Calibri"/>
          <w:lang w:val="el-GR"/>
        </w:rPr>
        <w:t xml:space="preserve">Ανταγωνιστικότητα και </w:t>
      </w:r>
      <w:r>
        <w:rPr>
          <w:rFonts w:cs="Calibri"/>
        </w:rPr>
        <w:t>A</w:t>
      </w:r>
      <w:r w:rsidRPr="004306AE">
        <w:rPr>
          <w:rFonts w:cs="Calibri"/>
          <w:lang w:val="el-GR"/>
        </w:rPr>
        <w:t>ειφόρος Ανάπτυξη</w:t>
      </w:r>
      <w:r>
        <w:rPr>
          <w:rFonts w:cs="Calibri"/>
          <w:lang w:val="el-GR"/>
        </w:rPr>
        <w:t>», «</w:t>
      </w:r>
      <w:r w:rsidRPr="004306AE">
        <w:rPr>
          <w:rFonts w:cs="Calibri"/>
          <w:lang w:val="el-GR"/>
        </w:rPr>
        <w:t>Απασχόληση, Ανθρώπινοι Πόροι και Κοινωνική Συνοχή</w:t>
      </w:r>
      <w:r>
        <w:rPr>
          <w:rFonts w:cs="Calibri"/>
          <w:lang w:val="el-GR"/>
        </w:rPr>
        <w:t>», «</w:t>
      </w:r>
      <w:r w:rsidRPr="006127CB">
        <w:rPr>
          <w:rFonts w:cs="Calibri"/>
          <w:lang w:val="el-GR"/>
        </w:rPr>
        <w:t>Πρόγραμμα Αγροτικής Ανάπτυξης</w:t>
      </w:r>
      <w:r>
        <w:rPr>
          <w:rFonts w:cs="Calibri"/>
          <w:lang w:val="el-GR"/>
        </w:rPr>
        <w:t>» και «Θάλασσα»</w:t>
      </w:r>
      <w:bookmarkEnd w:id="3"/>
      <w:r>
        <w:rPr>
          <w:rFonts w:cs="Calibri"/>
          <w:lang w:val="el-GR"/>
        </w:rPr>
        <w:t xml:space="preserve"> της περιόδου 2014-2020, υπό τη γενική ευθύνη και εποπτεία της Γενικής Διεύθυνσης </w:t>
      </w:r>
      <w:r w:rsidRPr="006127CB">
        <w:rPr>
          <w:rFonts w:cs="Calibri"/>
          <w:lang w:val="el-GR"/>
        </w:rPr>
        <w:t>Ευρωπαϊκών Προγραμμάτων, Συντονισμού και Ανάπτυξης (ΓΔ ΕΠΣΑ)</w:t>
      </w:r>
      <w:r>
        <w:rPr>
          <w:rFonts w:cs="Calibri"/>
          <w:lang w:val="el-GR"/>
        </w:rPr>
        <w:t>.</w:t>
      </w:r>
    </w:p>
    <w:p w14:paraId="6887F52F" w14:textId="4F5BB0DC" w:rsidR="00D71449" w:rsidRDefault="00D71449" w:rsidP="004B4292">
      <w:pPr>
        <w:jc w:val="both"/>
        <w:rPr>
          <w:rFonts w:cs="Calibri"/>
          <w:lang w:val="el-GR"/>
        </w:rPr>
      </w:pPr>
      <w:r>
        <w:rPr>
          <w:rFonts w:cs="Calibri"/>
          <w:lang w:val="el-GR"/>
        </w:rPr>
        <w:t xml:space="preserve">Σύμφωνα με τις πρόνοιες των παρ. 1 και 2 του άρθρου 52 </w:t>
      </w:r>
      <w:r w:rsidRPr="006127CB">
        <w:rPr>
          <w:rFonts w:cs="Calibri"/>
          <w:lang w:val="el-GR"/>
        </w:rPr>
        <w:t>Κανονισμού (ΕΕ) αριθ. 1303/2013 του Ευρωπαϊκού Κοινοβουλίου και του Συμβουλίου</w:t>
      </w:r>
      <w:r>
        <w:rPr>
          <w:rFonts w:cs="Calibri"/>
          <w:lang w:val="el-GR"/>
        </w:rPr>
        <w:t>,</w:t>
      </w:r>
      <w:r w:rsidRPr="006127CB">
        <w:rPr>
          <w:rFonts w:cs="Calibri"/>
          <w:lang w:val="el-GR"/>
        </w:rPr>
        <w:t xml:space="preserve"> </w:t>
      </w:r>
      <w:r>
        <w:rPr>
          <w:rFonts w:cs="Calibri"/>
          <w:lang w:val="el-GR"/>
        </w:rPr>
        <w:t xml:space="preserve">περιλαμβάνει πληροφορίες σχετικά με την πρόοδο υλοποίησης της Συμφωνίας </w:t>
      </w:r>
      <w:r w:rsidRPr="006127CB">
        <w:rPr>
          <w:rFonts w:cs="Calibri"/>
          <w:lang w:val="el-GR"/>
        </w:rPr>
        <w:t>Εταιρικής Σχέσης</w:t>
      </w:r>
      <w:r>
        <w:rPr>
          <w:rFonts w:cs="Calibri"/>
          <w:lang w:val="el-GR"/>
        </w:rPr>
        <w:t xml:space="preserve"> (ΣΕΣ)</w:t>
      </w:r>
      <w:r w:rsidRPr="006127CB">
        <w:rPr>
          <w:rFonts w:cs="Calibri"/>
          <w:lang w:val="el-GR"/>
        </w:rPr>
        <w:t xml:space="preserve"> </w:t>
      </w:r>
      <w:r>
        <w:rPr>
          <w:rFonts w:cs="Calibri"/>
          <w:lang w:val="el-GR"/>
        </w:rPr>
        <w:t xml:space="preserve">μέχρι </w:t>
      </w:r>
      <w:r w:rsidRPr="006127CB">
        <w:rPr>
          <w:rFonts w:cs="Calibri"/>
          <w:lang w:val="el-GR"/>
        </w:rPr>
        <w:t>τις 31 Δεκεμβρίου 2016</w:t>
      </w:r>
      <w:r>
        <w:rPr>
          <w:rFonts w:cs="Calibri"/>
          <w:lang w:val="el-GR"/>
        </w:rPr>
        <w:t xml:space="preserve"> και ειδικότερα πληροφορίες σχετικά με:</w:t>
      </w:r>
    </w:p>
    <w:p w14:paraId="42D6071B" w14:textId="1909D8C5" w:rsidR="00D71449" w:rsidRPr="00E17743" w:rsidRDefault="00D71449" w:rsidP="004B4292">
      <w:pPr>
        <w:tabs>
          <w:tab w:val="left" w:pos="567"/>
        </w:tabs>
        <w:ind w:left="567" w:hanging="425"/>
        <w:jc w:val="both"/>
        <w:rPr>
          <w:rFonts w:cs="Calibri"/>
          <w:lang w:val="el-GR"/>
        </w:rPr>
      </w:pPr>
      <w:r>
        <w:rPr>
          <w:rFonts w:cs="Calibri"/>
          <w:lang w:val="el-GR"/>
        </w:rPr>
        <w:t>α)</w:t>
      </w:r>
      <w:r>
        <w:rPr>
          <w:rFonts w:cs="Calibri"/>
          <w:lang w:val="el-GR"/>
        </w:rPr>
        <w:tab/>
      </w:r>
      <w:r w:rsidRPr="00E17743">
        <w:rPr>
          <w:rFonts w:cs="Calibri"/>
          <w:lang w:val="el-GR"/>
        </w:rPr>
        <w:t xml:space="preserve">τις αλλαγές στις επενδυτικές ανάγκες </w:t>
      </w:r>
      <w:r>
        <w:rPr>
          <w:rFonts w:cs="Calibri"/>
          <w:lang w:val="el-GR"/>
        </w:rPr>
        <w:t>της Κύπρου</w:t>
      </w:r>
      <w:r w:rsidRPr="00E17743">
        <w:rPr>
          <w:rFonts w:cs="Calibri"/>
          <w:lang w:val="el-GR"/>
        </w:rPr>
        <w:t xml:space="preserve"> από τη σύναψη της </w:t>
      </w:r>
      <w:r>
        <w:rPr>
          <w:rFonts w:cs="Calibri"/>
          <w:lang w:val="el-GR"/>
        </w:rPr>
        <w:t>ΣΕΣ τον Ιούνιο 2014</w:t>
      </w:r>
      <w:r w:rsidRPr="00E17743">
        <w:rPr>
          <w:rFonts w:cs="Calibri"/>
          <w:lang w:val="el-GR"/>
        </w:rPr>
        <w:t xml:space="preserve">· </w:t>
      </w:r>
    </w:p>
    <w:p w14:paraId="27DB7A64" w14:textId="77777777" w:rsidR="00D71449" w:rsidRPr="00E17743" w:rsidRDefault="00D71449" w:rsidP="004B4292">
      <w:pPr>
        <w:tabs>
          <w:tab w:val="left" w:pos="567"/>
        </w:tabs>
        <w:ind w:left="567" w:hanging="425"/>
        <w:jc w:val="both"/>
        <w:rPr>
          <w:rFonts w:cs="Calibri"/>
          <w:lang w:val="el-GR"/>
        </w:rPr>
      </w:pPr>
      <w:r>
        <w:rPr>
          <w:rFonts w:cs="Calibri"/>
          <w:lang w:val="el-GR"/>
        </w:rPr>
        <w:t>β)</w:t>
      </w:r>
      <w:r>
        <w:rPr>
          <w:rFonts w:cs="Calibri"/>
          <w:lang w:val="el-GR"/>
        </w:rPr>
        <w:tab/>
      </w:r>
      <w:r w:rsidRPr="00E17743">
        <w:rPr>
          <w:rFonts w:cs="Calibri"/>
          <w:lang w:val="el-GR"/>
        </w:rPr>
        <w:t xml:space="preserve">την πρόοδο προς την επίτευξη της στρατηγικής της Ένωσης για μια έξυπνη, διατηρήσιμη και χωρίς αποκλεισμούς ανάπτυξη, καθώς και των ειδικών ανά ταμείο αποστολών, μέσω της συμβολής των </w:t>
      </w:r>
      <w:r>
        <w:rPr>
          <w:rFonts w:cs="Calibri"/>
          <w:lang w:val="el-GR"/>
        </w:rPr>
        <w:t>Ευρωπαϊκών Διαρθρωτικών και Επενδυτικών Ταμείων (</w:t>
      </w:r>
      <w:r w:rsidRPr="00E17743">
        <w:rPr>
          <w:rFonts w:cs="Calibri"/>
          <w:lang w:val="el-GR"/>
        </w:rPr>
        <w:t>ΕΔΕΤ</w:t>
      </w:r>
      <w:r>
        <w:rPr>
          <w:rFonts w:cs="Calibri"/>
          <w:lang w:val="el-GR"/>
        </w:rPr>
        <w:t>)</w:t>
      </w:r>
      <w:r w:rsidRPr="00E17743">
        <w:rPr>
          <w:rFonts w:cs="Calibri"/>
          <w:lang w:val="el-GR"/>
        </w:rPr>
        <w:t xml:space="preserve"> στους επιλεγμένους θεματικούς στόχους, ιδίως όσον αφορά τα καθορισθέντα ορόσημα στο πλαίσιο επιδόσεων για κάθε πρόγραμμα και τη στήριξη που χρησιμοποιήθηκε για τους </w:t>
      </w:r>
      <w:r>
        <w:rPr>
          <w:rFonts w:cs="Calibri"/>
          <w:lang w:val="el-GR"/>
        </w:rPr>
        <w:t>στόχους της κλιματικής αλλαγής</w:t>
      </w:r>
      <w:r w:rsidRPr="00E17743">
        <w:rPr>
          <w:rFonts w:cs="Calibri"/>
          <w:lang w:val="el-GR"/>
        </w:rPr>
        <w:t>·</w:t>
      </w:r>
    </w:p>
    <w:p w14:paraId="29F3112A" w14:textId="2EDA55DE" w:rsidR="00D71449" w:rsidRPr="00E17743" w:rsidRDefault="00D71449" w:rsidP="004B4292">
      <w:pPr>
        <w:tabs>
          <w:tab w:val="left" w:pos="567"/>
        </w:tabs>
        <w:ind w:left="567" w:hanging="425"/>
        <w:jc w:val="both"/>
        <w:rPr>
          <w:rFonts w:cs="Calibri"/>
          <w:lang w:val="el-GR"/>
        </w:rPr>
      </w:pPr>
      <w:r>
        <w:rPr>
          <w:rFonts w:cs="Calibri"/>
          <w:lang w:val="el-GR"/>
        </w:rPr>
        <w:t>γ)</w:t>
      </w:r>
      <w:r>
        <w:rPr>
          <w:rFonts w:cs="Calibri"/>
          <w:lang w:val="el-GR"/>
        </w:rPr>
        <w:tab/>
      </w:r>
      <w:r w:rsidRPr="00E17743">
        <w:rPr>
          <w:rFonts w:cs="Calibri"/>
          <w:lang w:val="el-GR"/>
        </w:rPr>
        <w:t>το εάν έτυχαν εφαρμογής σύμφωνα με το καθορισθέν χρονοδιάγραμμα, τα μέτρα που ελήφθησαν για την τήρηση των εφαρμοστέων εκ των προτέρων αιρεσιμοτήτων</w:t>
      </w:r>
      <w:r>
        <w:rPr>
          <w:rFonts w:cs="Calibri"/>
          <w:lang w:val="el-GR"/>
        </w:rPr>
        <w:t>,</w:t>
      </w:r>
      <w:r w:rsidRPr="00E17743">
        <w:rPr>
          <w:rFonts w:cs="Calibri"/>
          <w:lang w:val="el-GR"/>
        </w:rPr>
        <w:t xml:space="preserve"> που διατυπώνονται στ</w:t>
      </w:r>
      <w:r>
        <w:rPr>
          <w:rFonts w:cs="Calibri"/>
          <w:lang w:val="el-GR"/>
        </w:rPr>
        <w:t>η ΣΕΣ</w:t>
      </w:r>
      <w:r w:rsidRPr="00E17743">
        <w:rPr>
          <w:rFonts w:cs="Calibri"/>
          <w:lang w:val="el-GR"/>
        </w:rPr>
        <w:t xml:space="preserve"> και δεν είχαν ικανοποιηθεί κατά τον χρόνο έγκρισ</w:t>
      </w:r>
      <w:r>
        <w:rPr>
          <w:rFonts w:cs="Calibri"/>
          <w:lang w:val="el-GR"/>
        </w:rPr>
        <w:t>ή</w:t>
      </w:r>
      <w:r w:rsidRPr="00E17743">
        <w:rPr>
          <w:rFonts w:cs="Calibri"/>
          <w:lang w:val="el-GR"/>
        </w:rPr>
        <w:t>ς</w:t>
      </w:r>
      <w:r>
        <w:rPr>
          <w:rFonts w:cs="Calibri"/>
          <w:lang w:val="el-GR"/>
        </w:rPr>
        <w:t xml:space="preserve"> της</w:t>
      </w:r>
      <w:r w:rsidRPr="00E17743">
        <w:rPr>
          <w:rFonts w:cs="Calibri"/>
          <w:lang w:val="el-GR"/>
        </w:rPr>
        <w:t xml:space="preserve">·  </w:t>
      </w:r>
    </w:p>
    <w:p w14:paraId="6CE652FE" w14:textId="77777777" w:rsidR="00D71449" w:rsidRPr="00E17743" w:rsidRDefault="00D71449" w:rsidP="004B4292">
      <w:pPr>
        <w:tabs>
          <w:tab w:val="left" w:pos="567"/>
        </w:tabs>
        <w:ind w:left="567" w:hanging="425"/>
        <w:jc w:val="both"/>
        <w:rPr>
          <w:rFonts w:cs="Calibri"/>
          <w:lang w:val="el-GR"/>
        </w:rPr>
      </w:pPr>
      <w:r>
        <w:rPr>
          <w:rFonts w:cs="Calibri"/>
          <w:lang w:val="el-GR"/>
        </w:rPr>
        <w:t>δ)</w:t>
      </w:r>
      <w:r>
        <w:rPr>
          <w:rFonts w:cs="Calibri"/>
          <w:lang w:val="el-GR"/>
        </w:rPr>
        <w:tab/>
      </w:r>
      <w:r w:rsidRPr="00E17743">
        <w:rPr>
          <w:rFonts w:cs="Calibri"/>
          <w:lang w:val="el-GR"/>
        </w:rPr>
        <w:t>την εφαρμογή των μηχανισμών για τη διασφάλιση του συντονισμού μεταξύ των ΕΔΕΤ και άλλων ενωσιακών και εθνικών μέσων χρηματοοικονο</w:t>
      </w:r>
      <w:r>
        <w:rPr>
          <w:rFonts w:cs="Calibri"/>
          <w:lang w:val="el-GR"/>
        </w:rPr>
        <w:t>μικής τεχνικής και με την Ευρωπαϊκή Τράπεζα Επενδύσεων (ΕΤΕπ)</w:t>
      </w:r>
    </w:p>
    <w:p w14:paraId="5B0AD933" w14:textId="77777777" w:rsidR="00D71449" w:rsidRPr="00E17743" w:rsidRDefault="00D71449" w:rsidP="004B4292">
      <w:pPr>
        <w:tabs>
          <w:tab w:val="left" w:pos="567"/>
        </w:tabs>
        <w:ind w:left="567" w:hanging="425"/>
        <w:jc w:val="both"/>
        <w:rPr>
          <w:rFonts w:cs="Calibri"/>
          <w:lang w:val="el-GR"/>
        </w:rPr>
      </w:pPr>
      <w:r>
        <w:rPr>
          <w:rFonts w:cs="Calibri"/>
          <w:lang w:val="el-GR"/>
        </w:rPr>
        <w:t>ε)</w:t>
      </w:r>
      <w:r>
        <w:rPr>
          <w:rFonts w:cs="Calibri"/>
          <w:lang w:val="el-GR"/>
        </w:rPr>
        <w:tab/>
      </w:r>
      <w:r w:rsidRPr="00E17743">
        <w:rPr>
          <w:rFonts w:cs="Calibri"/>
          <w:lang w:val="el-GR"/>
        </w:rPr>
        <w:t xml:space="preserve">την εφαρμογή της ολοκληρωμένης προσέγγισης της χωρικής ανάπτυξης·  </w:t>
      </w:r>
    </w:p>
    <w:p w14:paraId="4A3B6E57" w14:textId="77777777" w:rsidR="00D71449" w:rsidRPr="00E17743" w:rsidRDefault="00D71449" w:rsidP="004B4292">
      <w:pPr>
        <w:tabs>
          <w:tab w:val="left" w:pos="567"/>
        </w:tabs>
        <w:ind w:left="567" w:hanging="425"/>
        <w:jc w:val="both"/>
        <w:rPr>
          <w:rFonts w:cs="Calibri"/>
          <w:lang w:val="el-GR"/>
        </w:rPr>
      </w:pPr>
      <w:r>
        <w:rPr>
          <w:rFonts w:cs="Calibri"/>
          <w:lang w:val="el-GR"/>
        </w:rPr>
        <w:t>στ)</w:t>
      </w:r>
      <w:r>
        <w:rPr>
          <w:rFonts w:cs="Calibri"/>
          <w:lang w:val="el-GR"/>
        </w:rPr>
        <w:tab/>
      </w:r>
      <w:r w:rsidRPr="00E17743">
        <w:rPr>
          <w:rFonts w:cs="Calibri"/>
          <w:lang w:val="el-GR"/>
        </w:rPr>
        <w:t xml:space="preserve">τα μέτρα που ελήφθησαν για την ενίσχυση της ικανότητας των αρχών του κράτους μέλους και των δικαιούχων να διαχειρίζονται και να χρησιμοποιούν τα ΕΔΕΤ· </w:t>
      </w:r>
    </w:p>
    <w:p w14:paraId="6504E043" w14:textId="77777777" w:rsidR="00D71449" w:rsidRDefault="00D71449" w:rsidP="004B4292">
      <w:pPr>
        <w:tabs>
          <w:tab w:val="left" w:pos="567"/>
        </w:tabs>
        <w:ind w:left="567" w:hanging="425"/>
        <w:jc w:val="both"/>
        <w:rPr>
          <w:rFonts w:cs="Calibri"/>
          <w:lang w:val="el-GR"/>
        </w:rPr>
      </w:pPr>
      <w:r>
        <w:rPr>
          <w:rFonts w:cs="Calibri"/>
          <w:lang w:val="el-GR"/>
        </w:rPr>
        <w:t>ζ)</w:t>
      </w:r>
      <w:r>
        <w:rPr>
          <w:rFonts w:cs="Calibri"/>
          <w:lang w:val="el-GR"/>
        </w:rPr>
        <w:tab/>
      </w:r>
      <w:r w:rsidRPr="00E17743">
        <w:rPr>
          <w:rFonts w:cs="Calibri"/>
          <w:lang w:val="el-GR"/>
        </w:rPr>
        <w:t>τις δράσεις που αναλαμβάνονται και την πρόοδο που επιτυγχάνεται όσον αφορά τη μείωση της διοικητικής επιβάρυνσης για τους δικαιούχους·</w:t>
      </w:r>
    </w:p>
    <w:p w14:paraId="071C5052" w14:textId="371257A4" w:rsidR="00D71449" w:rsidRPr="00E17743" w:rsidRDefault="00D71449" w:rsidP="004B4292">
      <w:pPr>
        <w:tabs>
          <w:tab w:val="left" w:pos="567"/>
        </w:tabs>
        <w:ind w:left="567" w:hanging="425"/>
        <w:jc w:val="both"/>
        <w:rPr>
          <w:rFonts w:cs="Calibri"/>
          <w:lang w:val="el-GR"/>
        </w:rPr>
      </w:pPr>
      <w:r>
        <w:rPr>
          <w:rFonts w:cs="Calibri"/>
          <w:lang w:val="el-GR"/>
        </w:rPr>
        <w:t>η)</w:t>
      </w:r>
      <w:r>
        <w:rPr>
          <w:rFonts w:cs="Calibri"/>
          <w:lang w:val="el-GR"/>
        </w:rPr>
        <w:tab/>
      </w:r>
      <w:r w:rsidRPr="00E17743">
        <w:rPr>
          <w:rFonts w:cs="Calibri"/>
          <w:lang w:val="el-GR"/>
        </w:rPr>
        <w:t xml:space="preserve">τον ρόλο των εταίρων κατά την εφαρμογή </w:t>
      </w:r>
      <w:r>
        <w:rPr>
          <w:rFonts w:cs="Calibri"/>
          <w:lang w:val="el-GR"/>
        </w:rPr>
        <w:t>της ΣΕΣ</w:t>
      </w:r>
      <w:r w:rsidR="003D1B02" w:rsidRPr="00E17743">
        <w:rPr>
          <w:rFonts w:cs="Calibri"/>
          <w:lang w:val="el-GR"/>
        </w:rPr>
        <w:t>·</w:t>
      </w:r>
    </w:p>
    <w:p w14:paraId="6442156E" w14:textId="77777777" w:rsidR="00E17743" w:rsidRDefault="00D71449" w:rsidP="004B4292">
      <w:pPr>
        <w:tabs>
          <w:tab w:val="left" w:pos="567"/>
        </w:tabs>
        <w:ind w:left="567" w:hanging="425"/>
        <w:jc w:val="both"/>
        <w:rPr>
          <w:rFonts w:cs="Calibri"/>
          <w:lang w:val="el-GR"/>
        </w:rPr>
      </w:pPr>
      <w:r>
        <w:rPr>
          <w:rFonts w:cs="Calibri"/>
          <w:lang w:val="el-GR"/>
        </w:rPr>
        <w:t>θ)</w:t>
      </w:r>
      <w:r>
        <w:rPr>
          <w:rFonts w:cs="Calibri"/>
          <w:lang w:val="el-GR"/>
        </w:rPr>
        <w:tab/>
      </w:r>
      <w:r w:rsidRPr="00E17743">
        <w:rPr>
          <w:rFonts w:cs="Calibri"/>
          <w:lang w:val="el-GR"/>
        </w:rPr>
        <w:t>μια συνοπτική παρουσίαση των μέτρων που λαμβάνονται σε σχέση με την εφαρμογή των οριζόντιων αρχών και στόχων πολιτικής για την υλοποίηση των ΕΔΕΤ.</w:t>
      </w:r>
    </w:p>
    <w:p w14:paraId="563D0D47" w14:textId="77777777" w:rsidR="00E17743" w:rsidRPr="00E17743" w:rsidRDefault="00E17743" w:rsidP="00E17743">
      <w:pPr>
        <w:spacing w:before="120" w:after="120"/>
        <w:ind w:left="709" w:hanging="425"/>
        <w:jc w:val="both"/>
        <w:rPr>
          <w:rFonts w:cs="Calibri"/>
          <w:lang w:val="el-GR"/>
        </w:rPr>
      </w:pPr>
    </w:p>
    <w:p w14:paraId="7F334158" w14:textId="77777777" w:rsidR="004E52D2" w:rsidRPr="004C0C85" w:rsidRDefault="004C0C85" w:rsidP="00EB6573">
      <w:pPr>
        <w:pStyle w:val="Heading1"/>
        <w:numPr>
          <w:ilvl w:val="0"/>
          <w:numId w:val="0"/>
        </w:numPr>
        <w:rPr>
          <w:rFonts w:cs="Calibri"/>
          <w:b w:val="0"/>
          <w:smallCaps w:val="0"/>
          <w:szCs w:val="24"/>
          <w:u w:val="single"/>
          <w:lang w:val="el-GR"/>
        </w:rPr>
      </w:pPr>
      <w:r w:rsidRPr="008D3A22">
        <w:rPr>
          <w:lang w:val="el-GR"/>
        </w:rPr>
        <w:br w:type="page"/>
      </w:r>
      <w:bookmarkStart w:id="4" w:name="_Toc483572188"/>
      <w:r w:rsidR="009C5C98" w:rsidRPr="00EB6573">
        <w:rPr>
          <w:rFonts w:ascii="Calibri" w:hAnsi="Calibri" w:cs="Calibri"/>
          <w:smallCaps w:val="0"/>
          <w:u w:val="single"/>
          <w:lang w:val="el-GR"/>
        </w:rPr>
        <w:lastRenderedPageBreak/>
        <w:t>ΜΕΡΟΣ Ι</w:t>
      </w:r>
      <w:r w:rsidR="00BC6B0A" w:rsidRPr="00EB6573">
        <w:rPr>
          <w:rFonts w:ascii="Calibri" w:hAnsi="Calibri" w:cs="Calibri"/>
          <w:smallCaps w:val="0"/>
          <w:u w:val="single"/>
          <w:lang w:val="el-GR"/>
        </w:rPr>
        <w:t>:</w:t>
      </w:r>
      <w:r w:rsidR="00BC6B0A" w:rsidRPr="00EB6573">
        <w:rPr>
          <w:rFonts w:ascii="Calibri" w:hAnsi="Calibri" w:cs="Calibri"/>
          <w:caps/>
          <w:smallCaps w:val="0"/>
          <w:lang w:val="el-GR"/>
        </w:rPr>
        <w:t xml:space="preserve"> </w:t>
      </w:r>
      <w:r w:rsidR="009C5C98" w:rsidRPr="00EB6573">
        <w:rPr>
          <w:rFonts w:ascii="Calibri" w:hAnsi="Calibri" w:cs="Calibri"/>
          <w:caps/>
          <w:smallCaps w:val="0"/>
          <w:lang w:val="el-GR"/>
        </w:rPr>
        <w:t>Πληροφορίες και αξιολόγηση που απαιτούνται για όλα τα ευρωπαϊκά διαρθρωτικά και επενδυτικά ταμεία (ΕΔΕΤ)</w:t>
      </w:r>
      <w:bookmarkEnd w:id="4"/>
    </w:p>
    <w:p w14:paraId="6C5EC407" w14:textId="33A7C386" w:rsidR="009C5C98" w:rsidRPr="009C5C98" w:rsidRDefault="009C5C98" w:rsidP="001D583B">
      <w:pPr>
        <w:pStyle w:val="Heading1"/>
        <w:numPr>
          <w:ilvl w:val="0"/>
          <w:numId w:val="7"/>
        </w:numPr>
        <w:ind w:left="426"/>
        <w:rPr>
          <w:rFonts w:ascii="Calibri" w:hAnsi="Calibri" w:cs="Calibri"/>
          <w:caps/>
          <w:smallCaps w:val="0"/>
          <w:lang w:val="el-GR"/>
        </w:rPr>
      </w:pPr>
      <w:bookmarkStart w:id="5" w:name="_Toc483572189"/>
      <w:r w:rsidRPr="009C5C98">
        <w:rPr>
          <w:rFonts w:ascii="Calibri" w:hAnsi="Calibri" w:cs="Calibri"/>
          <w:caps/>
          <w:smallCaps w:val="0"/>
          <w:lang w:val="el-GR"/>
        </w:rPr>
        <w:t xml:space="preserve">Αλλαγές στις αναπτυξιακές ανάγκες του κράτους μέλους από τη σύναψη </w:t>
      </w:r>
      <w:r w:rsidR="00D11B47">
        <w:rPr>
          <w:rFonts w:ascii="Calibri" w:hAnsi="Calibri" w:cs="Calibri"/>
          <w:caps/>
          <w:smallCaps w:val="0"/>
          <w:lang w:val="el-GR"/>
        </w:rPr>
        <w:t>τησ</w:t>
      </w:r>
      <w:r w:rsidRPr="009C5C98">
        <w:rPr>
          <w:rFonts w:ascii="Calibri" w:hAnsi="Calibri" w:cs="Calibri"/>
          <w:caps/>
          <w:smallCaps w:val="0"/>
          <w:lang w:val="el-GR"/>
        </w:rPr>
        <w:t xml:space="preserve"> συμφών</w:t>
      </w:r>
      <w:r w:rsidR="00D11B47">
        <w:rPr>
          <w:rFonts w:ascii="Calibri" w:hAnsi="Calibri" w:cs="Calibri"/>
          <w:caps/>
          <w:smallCaps w:val="0"/>
          <w:lang w:val="el-GR"/>
        </w:rPr>
        <w:t>ιασ</w:t>
      </w:r>
      <w:r w:rsidRPr="009C5C98">
        <w:rPr>
          <w:rFonts w:ascii="Calibri" w:hAnsi="Calibri" w:cs="Calibri"/>
          <w:caps/>
          <w:smallCaps w:val="0"/>
          <w:lang w:val="el-GR"/>
        </w:rPr>
        <w:t xml:space="preserve"> εταιρικής σχέσης</w:t>
      </w:r>
      <w:bookmarkEnd w:id="5"/>
      <w:r w:rsidRPr="009C5C98">
        <w:rPr>
          <w:rFonts w:ascii="Calibri" w:hAnsi="Calibri" w:cs="Calibri"/>
          <w:caps/>
          <w:smallCaps w:val="0"/>
          <w:lang w:val="el-GR"/>
        </w:rPr>
        <w:t xml:space="preserve"> </w:t>
      </w:r>
    </w:p>
    <w:p w14:paraId="0A933283" w14:textId="77777777" w:rsidR="009C5C98" w:rsidRPr="00D11B47" w:rsidRDefault="009C5C98" w:rsidP="00265C8E">
      <w:pPr>
        <w:spacing w:line="240" w:lineRule="auto"/>
        <w:jc w:val="both"/>
        <w:rPr>
          <w:rFonts w:cs="Calibri"/>
          <w:b/>
          <w:i/>
          <w:lang w:val="el-GR"/>
        </w:rPr>
      </w:pPr>
      <w:r w:rsidRPr="00D11B47">
        <w:rPr>
          <w:rFonts w:cs="Calibri"/>
          <w:b/>
          <w:i/>
          <w:lang w:val="el-GR"/>
        </w:rPr>
        <w:t>α) Γενική περιγραφή και αξιολόγηση των αλλαγών στις αναπτυξιακές ανάγκες, συμπεριλαμβανομένης περιγραφής των αλλαγών στις αναπτυξιακές ανάγκες που εντοπίζονται σε νέες σχετικές ειδικές για κάθε χώρα συστάσεις οι οποίες εκδίδονται βάσει του άρθρου 121 παράγραφος 2 και του άρθρου 148 παράγραφος 4 της  Συνθήκης.</w:t>
      </w:r>
    </w:p>
    <w:p w14:paraId="4C0589B4" w14:textId="4AFF3FE8" w:rsidR="00EE418E" w:rsidRPr="00D11B47" w:rsidRDefault="00EE418E" w:rsidP="00EE418E">
      <w:pPr>
        <w:jc w:val="both"/>
        <w:rPr>
          <w:rFonts w:cs="Calibri"/>
          <w:lang w:val="el-GR"/>
        </w:rPr>
      </w:pPr>
      <w:r w:rsidRPr="00D11B47">
        <w:rPr>
          <w:rFonts w:cs="Calibri"/>
        </w:rPr>
        <w:t>H</w:t>
      </w:r>
      <w:r w:rsidRPr="00D11B47">
        <w:rPr>
          <w:rFonts w:cs="Calibri"/>
          <w:lang w:val="el-GR"/>
        </w:rPr>
        <w:t xml:space="preserve"> Συμφωνία Εταιρικής Σχέσης</w:t>
      </w:r>
      <w:bookmarkStart w:id="6" w:name="_GoBack"/>
      <w:bookmarkEnd w:id="6"/>
      <w:r w:rsidRPr="00D11B47">
        <w:rPr>
          <w:rFonts w:cs="Calibri"/>
          <w:lang w:val="el-GR"/>
        </w:rPr>
        <w:t xml:space="preserve"> (ΣΕΣ) για την περίοδο 2014-2020</w:t>
      </w:r>
      <w:r w:rsidR="00D11B47" w:rsidRPr="00D11B47">
        <w:rPr>
          <w:rFonts w:cs="Calibri"/>
          <w:lang w:val="el-GR"/>
        </w:rPr>
        <w:t>,</w:t>
      </w:r>
      <w:r w:rsidRPr="00D11B47">
        <w:rPr>
          <w:rFonts w:cs="Calibri"/>
          <w:lang w:val="el-GR"/>
        </w:rPr>
        <w:t xml:space="preserve"> ως το στρατηγικό έγγραφο προγραμματισμού</w:t>
      </w:r>
      <w:r w:rsidRPr="00EE418E">
        <w:rPr>
          <w:rFonts w:cs="Calibri"/>
          <w:lang w:val="el-GR"/>
        </w:rPr>
        <w:t xml:space="preserve"> της αξιοποίησης των πόρων που παραχωρούνται στην Κύπρο από τα Ευρωπαϊκά Διαρθρωτικά Επενδυτικά Ταμεία (ΕΔΕΤ)</w:t>
      </w:r>
      <w:r w:rsidR="00D11B47">
        <w:rPr>
          <w:rFonts w:cs="Calibri"/>
          <w:lang w:val="el-GR"/>
        </w:rPr>
        <w:t xml:space="preserve"> 2014-2020,</w:t>
      </w:r>
      <w:r w:rsidRPr="00EE418E">
        <w:rPr>
          <w:rFonts w:cs="Calibri"/>
          <w:b/>
          <w:lang w:val="el-GR"/>
        </w:rPr>
        <w:t xml:space="preserve"> </w:t>
      </w:r>
      <w:r w:rsidRPr="00D11B47">
        <w:rPr>
          <w:rFonts w:cs="Calibri"/>
          <w:lang w:val="el-GR"/>
        </w:rPr>
        <w:t xml:space="preserve">προωθεί την υιοθέτηση ενός νέου και βιώσιμου αναπτυξιακού μοντέλου για την Κύπρο. Η ανάλυση αναγκών της Κυπριακής οικονομίας που περιλαμβάνεται στη ΣΕΣ </w:t>
      </w:r>
      <w:r w:rsidR="00D11B47">
        <w:rPr>
          <w:rFonts w:cs="Calibri"/>
          <w:lang w:val="el-GR"/>
        </w:rPr>
        <w:t>συνάδει</w:t>
      </w:r>
      <w:r w:rsidRPr="00D11B47">
        <w:rPr>
          <w:rFonts w:cs="Calibri"/>
          <w:lang w:val="el-GR"/>
        </w:rPr>
        <w:t xml:space="preserve"> με τις πρόνοιες του Εθνικού Μεταρρυθμιστικού Προγράμματος της Κύπρου </w:t>
      </w:r>
      <w:r w:rsidR="00D11B47">
        <w:rPr>
          <w:rFonts w:cs="Calibri"/>
          <w:lang w:val="el-GR"/>
        </w:rPr>
        <w:t>για</w:t>
      </w:r>
      <w:r w:rsidRPr="00D11B47">
        <w:rPr>
          <w:rFonts w:cs="Calibri"/>
          <w:lang w:val="el-GR"/>
        </w:rPr>
        <w:t xml:space="preserve"> τη Στρατηγική «Ευρώπη 2020» στα αντικείμενα που εμπίπτουν στο πεδίο επιλεξιμότητας των ΕΔΕΤ. Οι δύο βασικές διαστάσεις στις αναπτυξιακές ανάγκες της Κύπρου </w:t>
      </w:r>
      <w:r w:rsidR="00D11B47">
        <w:rPr>
          <w:rFonts w:cs="Calibri"/>
          <w:lang w:val="el-GR"/>
        </w:rPr>
        <w:t>καλύπτουν</w:t>
      </w:r>
      <w:r w:rsidR="006778DC">
        <w:rPr>
          <w:rFonts w:cs="Calibri"/>
          <w:lang w:val="el-GR"/>
        </w:rPr>
        <w:t xml:space="preserve"> αφενός</w:t>
      </w:r>
      <w:r w:rsidRPr="00D11B47">
        <w:rPr>
          <w:rFonts w:cs="Calibri"/>
          <w:lang w:val="el-GR"/>
        </w:rPr>
        <w:t xml:space="preserve"> τις διαρθρωτικές αδυναμίες της Κυπριακής οικονομίας και </w:t>
      </w:r>
      <w:r w:rsidR="006778DC">
        <w:rPr>
          <w:rFonts w:cs="Calibri"/>
          <w:lang w:val="el-GR"/>
        </w:rPr>
        <w:t xml:space="preserve">αφετέρου </w:t>
      </w:r>
      <w:r w:rsidRPr="00D11B47">
        <w:rPr>
          <w:rFonts w:cs="Calibri"/>
          <w:lang w:val="el-GR"/>
        </w:rPr>
        <w:t>την οικονομική κρίση και τις επιπτώσεις της. Σε αυτό το πλαίσιο, οι κύριες προκλήσεις και αναπτυξιακές ανάγκες που αντιμετωπίζει η Κυπριακή οικονομία κατά την περίοδο 2014-2020 συνοψίζονται στα εξής σημεία:</w:t>
      </w:r>
    </w:p>
    <w:p w14:paraId="0B80AE7D" w14:textId="77777777" w:rsidR="00EE418E" w:rsidRPr="00EE418E" w:rsidRDefault="00EE418E" w:rsidP="001D583B">
      <w:pPr>
        <w:numPr>
          <w:ilvl w:val="0"/>
          <w:numId w:val="3"/>
        </w:numPr>
        <w:jc w:val="both"/>
        <w:rPr>
          <w:rFonts w:cs="Calibri"/>
          <w:lang w:val="el-GR"/>
        </w:rPr>
      </w:pPr>
      <w:r w:rsidRPr="00EE418E">
        <w:rPr>
          <w:rFonts w:cs="Calibri"/>
          <w:b/>
          <w:lang w:val="el-GR"/>
        </w:rPr>
        <w:t>Αντιμετώπιση του προβλήματος της μειωμένης ανταγωνιστικότητας της οικονομίας</w:t>
      </w:r>
      <w:r w:rsidR="006778DC">
        <w:rPr>
          <w:rFonts w:cs="Calibri"/>
          <w:b/>
          <w:lang w:val="el-GR"/>
        </w:rPr>
        <w:t>.</w:t>
      </w:r>
    </w:p>
    <w:p w14:paraId="62B29AB2" w14:textId="337C0916" w:rsidR="00EE418E" w:rsidRPr="00EE418E" w:rsidRDefault="00EE418E" w:rsidP="001D583B">
      <w:pPr>
        <w:numPr>
          <w:ilvl w:val="0"/>
          <w:numId w:val="3"/>
        </w:numPr>
        <w:jc w:val="both"/>
        <w:rPr>
          <w:rFonts w:cs="Calibri"/>
          <w:lang w:val="el-GR"/>
        </w:rPr>
      </w:pPr>
      <w:r w:rsidRPr="00EE418E">
        <w:rPr>
          <w:rFonts w:cs="Calibri"/>
          <w:b/>
          <w:lang w:val="el-GR"/>
        </w:rPr>
        <w:t xml:space="preserve">Παραγωγική αναδιάρθρωση της οικονομίας μέσω της αλλαγής προσανατολισμού του συστήματος </w:t>
      </w:r>
      <w:r w:rsidR="006778DC">
        <w:rPr>
          <w:rFonts w:cs="Calibri"/>
          <w:b/>
          <w:lang w:val="el-GR"/>
        </w:rPr>
        <w:t>Έρευνας, Τεχνολογικής Ανάπτυξης και Καινοτομίας (</w:t>
      </w:r>
      <w:r w:rsidRPr="00EE418E">
        <w:rPr>
          <w:rFonts w:cs="Calibri"/>
          <w:b/>
          <w:lang w:val="el-GR"/>
        </w:rPr>
        <w:t>ΕΤΑΚ</w:t>
      </w:r>
      <w:r w:rsidR="006778DC">
        <w:rPr>
          <w:rFonts w:cs="Calibri"/>
          <w:b/>
          <w:lang w:val="el-GR"/>
        </w:rPr>
        <w:t>)</w:t>
      </w:r>
      <w:r w:rsidRPr="00EE418E">
        <w:rPr>
          <w:rFonts w:cs="Calibri"/>
          <w:b/>
          <w:lang w:val="el-GR"/>
        </w:rPr>
        <w:t xml:space="preserve"> </w:t>
      </w:r>
      <w:r w:rsidRPr="00EE418E">
        <w:rPr>
          <w:rFonts w:cs="Calibri"/>
          <w:lang w:val="el-GR"/>
        </w:rPr>
        <w:t>προς την κατεύθυνση της σύνδεσής του με την πραγματική οικονομία, ιδιαίτερα σε τομείς που η χώρα παρουσιάζει σημαντικά πλεονεκτήματα όπως ο τουρισμός, η ενέργεια, η γεωργία, οι κατασκευές, οι μεταφορές, η υγεία</w:t>
      </w:r>
      <w:r w:rsidR="006778DC">
        <w:rPr>
          <w:rFonts w:cs="Calibri"/>
          <w:lang w:val="el-GR"/>
        </w:rPr>
        <w:t xml:space="preserve"> και</w:t>
      </w:r>
      <w:r w:rsidRPr="00EE418E">
        <w:rPr>
          <w:rFonts w:cs="Calibri"/>
          <w:lang w:val="el-GR"/>
        </w:rPr>
        <w:t xml:space="preserve"> η τεχνολογία τροφίμων.</w:t>
      </w:r>
    </w:p>
    <w:p w14:paraId="78E57BB9" w14:textId="38756A9B" w:rsidR="00EE418E" w:rsidRPr="00EE418E" w:rsidRDefault="00EE418E" w:rsidP="001D583B">
      <w:pPr>
        <w:numPr>
          <w:ilvl w:val="0"/>
          <w:numId w:val="3"/>
        </w:numPr>
        <w:jc w:val="both"/>
        <w:rPr>
          <w:rFonts w:cs="Calibri"/>
          <w:lang w:val="el-GR"/>
        </w:rPr>
      </w:pPr>
      <w:r w:rsidRPr="00EE418E">
        <w:rPr>
          <w:rFonts w:cs="Calibri"/>
          <w:b/>
          <w:lang w:val="el-GR"/>
        </w:rPr>
        <w:t xml:space="preserve">Ενίσχυση του πρωτογενή τομέα παραγωγής </w:t>
      </w:r>
      <w:r w:rsidRPr="00EE418E">
        <w:rPr>
          <w:rFonts w:cs="Calibri"/>
          <w:lang w:val="el-GR"/>
        </w:rPr>
        <w:t>σε τομείς και κλάδους που η χώρα παρουσιάζει πλεονεκτήματα και ποιοτικά προϊόντα προς εξαγωγή</w:t>
      </w:r>
      <w:r w:rsidR="006778DC">
        <w:rPr>
          <w:rFonts w:cs="Calibri"/>
          <w:lang w:val="el-GR"/>
        </w:rPr>
        <w:t>,</w:t>
      </w:r>
      <w:r w:rsidRPr="00EE418E">
        <w:rPr>
          <w:rFonts w:cs="Calibri"/>
          <w:lang w:val="el-GR"/>
        </w:rPr>
        <w:t xml:space="preserve"> όπως αλιεία, υδατοκαλλιέργειες, αγροτική παραγωγή, βιομηχανία τροφίμων</w:t>
      </w:r>
      <w:r w:rsidR="006778DC">
        <w:rPr>
          <w:rFonts w:cs="Calibri"/>
          <w:lang w:val="el-GR"/>
        </w:rPr>
        <w:t>,</w:t>
      </w:r>
      <w:r w:rsidRPr="00EE418E">
        <w:rPr>
          <w:rFonts w:cs="Calibri"/>
          <w:lang w:val="el-GR"/>
        </w:rPr>
        <w:t xml:space="preserve"> μεταποίηση προϊόντων πρωτογενούς τομέα παραγωγής κλπ.</w:t>
      </w:r>
    </w:p>
    <w:p w14:paraId="16C858FA" w14:textId="77777777" w:rsidR="00EE418E" w:rsidRPr="00EE418E" w:rsidRDefault="00EE418E" w:rsidP="001D583B">
      <w:pPr>
        <w:numPr>
          <w:ilvl w:val="0"/>
          <w:numId w:val="3"/>
        </w:numPr>
        <w:jc w:val="both"/>
        <w:rPr>
          <w:rFonts w:cs="Calibri"/>
          <w:lang w:val="el-GR"/>
        </w:rPr>
      </w:pPr>
      <w:r w:rsidRPr="00EE418E">
        <w:rPr>
          <w:rFonts w:cs="Calibri"/>
          <w:lang w:val="el-GR"/>
        </w:rPr>
        <w:t xml:space="preserve">Αντιμετώπιση της ραγδαίας </w:t>
      </w:r>
      <w:r w:rsidRPr="00EE418E">
        <w:rPr>
          <w:rFonts w:cs="Calibri"/>
          <w:b/>
          <w:lang w:val="el-GR"/>
        </w:rPr>
        <w:t>αύξησης της ανεργίας και των κινδύνων φτώχειας και κοινωνικού αποκλεισμού</w:t>
      </w:r>
      <w:r w:rsidRPr="00EE418E">
        <w:rPr>
          <w:rFonts w:cs="Calibri"/>
          <w:lang w:val="el-GR"/>
        </w:rPr>
        <w:t>.</w:t>
      </w:r>
    </w:p>
    <w:p w14:paraId="1F0A3089" w14:textId="779BD428" w:rsidR="00EE418E" w:rsidRPr="00EE418E" w:rsidRDefault="00EE418E" w:rsidP="001D583B">
      <w:pPr>
        <w:numPr>
          <w:ilvl w:val="0"/>
          <w:numId w:val="3"/>
        </w:numPr>
        <w:jc w:val="both"/>
        <w:rPr>
          <w:rFonts w:cs="Calibri"/>
          <w:lang w:val="el-GR"/>
        </w:rPr>
      </w:pPr>
      <w:r w:rsidRPr="00EE418E">
        <w:rPr>
          <w:rFonts w:cs="Calibri"/>
          <w:lang w:val="el-GR"/>
        </w:rPr>
        <w:t xml:space="preserve">Ανάγκη </w:t>
      </w:r>
      <w:r w:rsidR="006778DC">
        <w:rPr>
          <w:rFonts w:cs="Calibri"/>
          <w:b/>
          <w:lang w:val="el-GR"/>
        </w:rPr>
        <w:t>περαιτέρω σ</w:t>
      </w:r>
      <w:r w:rsidR="006778DC" w:rsidRPr="006778DC">
        <w:rPr>
          <w:rFonts w:cs="Calibri"/>
          <w:b/>
          <w:lang w:val="el-GR"/>
        </w:rPr>
        <w:t>υμμόρφωσης</w:t>
      </w:r>
      <w:r w:rsidR="006778DC">
        <w:rPr>
          <w:rFonts w:cs="Calibri"/>
          <w:lang w:val="el-GR"/>
        </w:rPr>
        <w:t xml:space="preserve"> </w:t>
      </w:r>
      <w:r w:rsidR="006778DC" w:rsidRPr="00EE418E">
        <w:rPr>
          <w:rFonts w:cs="Calibri"/>
          <w:lang w:val="el-GR"/>
        </w:rPr>
        <w:t>του</w:t>
      </w:r>
      <w:r w:rsidR="006778DC" w:rsidRPr="00EE418E">
        <w:rPr>
          <w:rFonts w:cs="Calibri"/>
          <w:b/>
          <w:lang w:val="el-GR"/>
        </w:rPr>
        <w:t xml:space="preserve"> εκπαιδευτικού συστήματος</w:t>
      </w:r>
      <w:r w:rsidR="006778DC">
        <w:rPr>
          <w:rFonts w:cs="Calibri"/>
          <w:b/>
          <w:lang w:val="el-GR"/>
        </w:rPr>
        <w:t xml:space="preserve"> προς τις ανάγκες</w:t>
      </w:r>
      <w:r w:rsidRPr="00EE418E">
        <w:rPr>
          <w:rFonts w:cs="Calibri"/>
          <w:b/>
          <w:lang w:val="el-GR"/>
        </w:rPr>
        <w:t xml:space="preserve"> της αγοράς εργασίας</w:t>
      </w:r>
      <w:r w:rsidR="006778DC" w:rsidRPr="006778DC">
        <w:rPr>
          <w:rFonts w:cs="Calibri"/>
          <w:lang w:val="el-GR"/>
        </w:rPr>
        <w:t>.</w:t>
      </w:r>
    </w:p>
    <w:p w14:paraId="64F4B6B5" w14:textId="5EF421DA" w:rsidR="00EE418E" w:rsidRPr="00EE418E" w:rsidRDefault="00EE418E" w:rsidP="001D583B">
      <w:pPr>
        <w:numPr>
          <w:ilvl w:val="0"/>
          <w:numId w:val="3"/>
        </w:numPr>
        <w:jc w:val="both"/>
        <w:rPr>
          <w:rFonts w:cs="Calibri"/>
          <w:lang w:val="el-GR"/>
        </w:rPr>
      </w:pPr>
      <w:r w:rsidRPr="00EE418E">
        <w:rPr>
          <w:rFonts w:cs="Calibri"/>
          <w:lang w:val="el-GR"/>
        </w:rPr>
        <w:t>Αντιμετώπιση</w:t>
      </w:r>
      <w:r w:rsidR="001F077C">
        <w:rPr>
          <w:rFonts w:cs="Calibri"/>
          <w:lang w:val="el-GR"/>
        </w:rPr>
        <w:t xml:space="preserve"> των</w:t>
      </w:r>
      <w:r w:rsidRPr="00EE418E">
        <w:rPr>
          <w:rFonts w:cs="Calibri"/>
          <w:lang w:val="el-GR"/>
        </w:rPr>
        <w:t xml:space="preserve"> </w:t>
      </w:r>
      <w:r w:rsidRPr="00EE418E">
        <w:rPr>
          <w:rFonts w:cs="Calibri"/>
          <w:b/>
          <w:lang w:val="el-GR"/>
        </w:rPr>
        <w:t xml:space="preserve">προβλημάτων προσβασιμότητας </w:t>
      </w:r>
      <w:r w:rsidR="0069438B">
        <w:rPr>
          <w:rFonts w:cs="Calibri"/>
          <w:b/>
          <w:lang w:val="el-GR"/>
        </w:rPr>
        <w:t xml:space="preserve">της χώρας </w:t>
      </w:r>
      <w:r w:rsidR="0069438B" w:rsidRPr="0069438B">
        <w:rPr>
          <w:rFonts w:cs="Calibri"/>
          <w:lang w:val="el-GR"/>
        </w:rPr>
        <w:t xml:space="preserve">από και προς το </w:t>
      </w:r>
      <w:r w:rsidR="0069438B">
        <w:rPr>
          <w:rFonts w:cs="Calibri"/>
          <w:lang w:val="el-GR"/>
        </w:rPr>
        <w:t xml:space="preserve">εμπορικό </w:t>
      </w:r>
      <w:r w:rsidR="0069438B" w:rsidRPr="0069438B">
        <w:rPr>
          <w:rFonts w:cs="Calibri"/>
          <w:lang w:val="el-GR"/>
        </w:rPr>
        <w:t>κέντρο της Ευρώπης</w:t>
      </w:r>
      <w:r w:rsidRPr="00EE418E">
        <w:rPr>
          <w:rFonts w:cs="Calibri"/>
          <w:b/>
          <w:lang w:val="el-GR"/>
        </w:rPr>
        <w:t xml:space="preserve">, </w:t>
      </w:r>
      <w:r w:rsidR="0069438B">
        <w:rPr>
          <w:rFonts w:cs="Calibri"/>
          <w:b/>
          <w:lang w:val="el-GR"/>
        </w:rPr>
        <w:t xml:space="preserve">περιλαμβανομένης </w:t>
      </w:r>
      <w:r w:rsidRPr="00EE418E">
        <w:rPr>
          <w:rFonts w:cs="Calibri"/>
          <w:b/>
          <w:lang w:val="el-GR"/>
        </w:rPr>
        <w:t>της διασύνδεσ</w:t>
      </w:r>
      <w:r w:rsidR="0069438B">
        <w:rPr>
          <w:rFonts w:cs="Calibri"/>
          <w:b/>
          <w:lang w:val="el-GR"/>
        </w:rPr>
        <w:t>ή</w:t>
      </w:r>
      <w:r w:rsidR="009C1976">
        <w:rPr>
          <w:rFonts w:cs="Calibri"/>
          <w:b/>
          <w:lang w:val="el-GR"/>
        </w:rPr>
        <w:t>ς</w:t>
      </w:r>
      <w:r w:rsidRPr="00EE418E">
        <w:rPr>
          <w:rFonts w:cs="Calibri"/>
          <w:b/>
          <w:lang w:val="el-GR"/>
        </w:rPr>
        <w:t xml:space="preserve"> της με τα </w:t>
      </w:r>
      <w:r w:rsidR="006778DC">
        <w:rPr>
          <w:rFonts w:cs="Calibri"/>
          <w:b/>
          <w:lang w:val="el-GR"/>
        </w:rPr>
        <w:t>Διευρωπαϊκά Δίκτυα Μεταφορών (</w:t>
      </w:r>
      <w:r w:rsidRPr="00EE418E">
        <w:rPr>
          <w:rFonts w:cs="Calibri"/>
          <w:b/>
          <w:lang w:val="el-GR"/>
        </w:rPr>
        <w:t>ΔΕΔ-Μ</w:t>
      </w:r>
      <w:r w:rsidR="006778DC">
        <w:rPr>
          <w:rFonts w:cs="Calibri"/>
          <w:b/>
          <w:lang w:val="el-GR"/>
        </w:rPr>
        <w:t>)</w:t>
      </w:r>
      <w:r w:rsidR="0069438B">
        <w:rPr>
          <w:rFonts w:cs="Calibri"/>
          <w:b/>
          <w:lang w:val="el-GR"/>
        </w:rPr>
        <w:t>,</w:t>
      </w:r>
      <w:r w:rsidRPr="00EE418E">
        <w:rPr>
          <w:rFonts w:cs="Calibri"/>
          <w:b/>
          <w:lang w:val="el-GR"/>
        </w:rPr>
        <w:t xml:space="preserve"> και </w:t>
      </w:r>
      <w:r w:rsidR="0069438B">
        <w:rPr>
          <w:rFonts w:cs="Calibri"/>
          <w:b/>
          <w:lang w:val="el-GR"/>
        </w:rPr>
        <w:t xml:space="preserve">προώθηση </w:t>
      </w:r>
      <w:r w:rsidRPr="00EE418E">
        <w:rPr>
          <w:rFonts w:cs="Calibri"/>
          <w:b/>
          <w:lang w:val="el-GR"/>
        </w:rPr>
        <w:t xml:space="preserve">της </w:t>
      </w:r>
      <w:r w:rsidR="0069438B">
        <w:rPr>
          <w:rFonts w:cs="Calibri"/>
          <w:b/>
          <w:lang w:val="el-GR"/>
        </w:rPr>
        <w:t xml:space="preserve">βιώσιμης </w:t>
      </w:r>
      <w:r w:rsidRPr="00EE418E">
        <w:rPr>
          <w:rFonts w:cs="Calibri"/>
          <w:b/>
          <w:lang w:val="el-GR"/>
        </w:rPr>
        <w:t>αστικής κινητικότητας</w:t>
      </w:r>
      <w:r w:rsidR="006778DC">
        <w:rPr>
          <w:rFonts w:cs="Calibri"/>
          <w:b/>
          <w:lang w:val="el-GR"/>
        </w:rPr>
        <w:t>.</w:t>
      </w:r>
    </w:p>
    <w:p w14:paraId="1B122DC6" w14:textId="291C076B" w:rsidR="00EE418E" w:rsidRPr="00EE418E" w:rsidRDefault="0069438B" w:rsidP="001D583B">
      <w:pPr>
        <w:numPr>
          <w:ilvl w:val="0"/>
          <w:numId w:val="3"/>
        </w:numPr>
        <w:jc w:val="both"/>
        <w:rPr>
          <w:rFonts w:cs="Calibri"/>
          <w:lang w:val="el-GR"/>
        </w:rPr>
      </w:pPr>
      <w:r w:rsidRPr="0069438B">
        <w:rPr>
          <w:rFonts w:cs="Calibri"/>
          <w:b/>
          <w:lang w:val="el-GR"/>
        </w:rPr>
        <w:t>Η</w:t>
      </w:r>
      <w:r w:rsidR="00EE418E" w:rsidRPr="0069438B">
        <w:rPr>
          <w:rFonts w:cs="Calibri"/>
          <w:b/>
          <w:lang w:val="el-GR"/>
        </w:rPr>
        <w:t xml:space="preserve"> εξασφάλιση συνθηκών </w:t>
      </w:r>
      <w:r w:rsidR="00EE418E" w:rsidRPr="00EE418E">
        <w:rPr>
          <w:rFonts w:cs="Calibri"/>
          <w:b/>
          <w:lang w:val="el-GR"/>
        </w:rPr>
        <w:t>βιώσιμης ανάπτυξης</w:t>
      </w:r>
      <w:r w:rsidR="00EE418E" w:rsidRPr="00EE418E">
        <w:rPr>
          <w:rFonts w:cs="Calibri"/>
          <w:lang w:val="el-GR"/>
        </w:rPr>
        <w:t xml:space="preserve"> </w:t>
      </w:r>
      <w:r>
        <w:rPr>
          <w:rFonts w:cs="Calibri"/>
          <w:lang w:val="el-GR"/>
        </w:rPr>
        <w:t>μέσω της</w:t>
      </w:r>
      <w:r w:rsidR="00EE418E" w:rsidRPr="00EE418E">
        <w:rPr>
          <w:rFonts w:cs="Calibri"/>
          <w:lang w:val="el-GR"/>
        </w:rPr>
        <w:t xml:space="preserve"> αντιμετώπισης των οξυμμένων επιπτώσεων/συνεπειών της κλιματικής αλλαγής</w:t>
      </w:r>
      <w:r w:rsidR="006778DC">
        <w:rPr>
          <w:rFonts w:cs="Calibri"/>
          <w:lang w:val="el-GR"/>
        </w:rPr>
        <w:t>.</w:t>
      </w:r>
    </w:p>
    <w:p w14:paraId="2372CD9D" w14:textId="7EC1A10E" w:rsidR="00EE418E" w:rsidRPr="00EE418E" w:rsidRDefault="00EE418E" w:rsidP="001D583B">
      <w:pPr>
        <w:numPr>
          <w:ilvl w:val="0"/>
          <w:numId w:val="3"/>
        </w:numPr>
        <w:jc w:val="both"/>
        <w:rPr>
          <w:rFonts w:cs="Calibri"/>
          <w:lang w:val="el-GR"/>
        </w:rPr>
      </w:pPr>
      <w:r w:rsidRPr="00EE418E">
        <w:rPr>
          <w:rFonts w:cs="Calibri"/>
          <w:b/>
          <w:lang w:val="el-GR"/>
        </w:rPr>
        <w:lastRenderedPageBreak/>
        <w:t>Αντιμετώπιση των προβλημάτων  υποβάθμιση</w:t>
      </w:r>
      <w:r w:rsidR="0069438B">
        <w:rPr>
          <w:rFonts w:cs="Calibri"/>
          <w:b/>
          <w:lang w:val="el-GR"/>
        </w:rPr>
        <w:t>ς</w:t>
      </w:r>
      <w:r w:rsidRPr="00EE418E">
        <w:rPr>
          <w:rFonts w:cs="Calibri"/>
          <w:b/>
          <w:lang w:val="el-GR"/>
        </w:rPr>
        <w:t xml:space="preserve"> του δομημένου περιβάλλοντος και καταπόνηση</w:t>
      </w:r>
      <w:r w:rsidR="00A40C67">
        <w:rPr>
          <w:rFonts w:cs="Calibri"/>
          <w:b/>
          <w:lang w:val="el-GR"/>
        </w:rPr>
        <w:t>ς</w:t>
      </w:r>
      <w:r w:rsidRPr="00EE418E">
        <w:rPr>
          <w:rFonts w:cs="Calibri"/>
          <w:b/>
          <w:lang w:val="el-GR"/>
        </w:rPr>
        <w:t xml:space="preserve"> του αστικού περιβάλλοντος</w:t>
      </w:r>
      <w:r w:rsidRPr="00EE418E">
        <w:rPr>
          <w:rFonts w:cs="Calibri"/>
          <w:lang w:val="el-GR"/>
        </w:rPr>
        <w:t xml:space="preserve">, </w:t>
      </w:r>
      <w:r w:rsidR="00A40C67">
        <w:rPr>
          <w:rFonts w:cs="Calibri"/>
          <w:lang w:val="el-GR"/>
        </w:rPr>
        <w:t>μέσω</w:t>
      </w:r>
      <w:r w:rsidRPr="00EE418E">
        <w:rPr>
          <w:rFonts w:cs="Calibri"/>
          <w:lang w:val="el-GR"/>
        </w:rPr>
        <w:t xml:space="preserve"> της </w:t>
      </w:r>
      <w:r w:rsidRPr="00EE418E">
        <w:rPr>
          <w:rFonts w:cs="Calibri"/>
          <w:b/>
          <w:lang w:val="el-GR"/>
        </w:rPr>
        <w:t>εφαρμογής ολοκληρωμένων παρεμβάσεων</w:t>
      </w:r>
      <w:r w:rsidRPr="00EE418E">
        <w:rPr>
          <w:rFonts w:cs="Calibri"/>
          <w:lang w:val="el-GR"/>
        </w:rPr>
        <w:t xml:space="preserve"> στους τομείς βιώσιμης αστικής ανάπτυξης, αγροτικής ανάπτυξης και αλιευτικών περιοχών.</w:t>
      </w:r>
    </w:p>
    <w:p w14:paraId="0646BADC" w14:textId="77777777" w:rsidR="00EE418E" w:rsidRPr="00EE418E" w:rsidRDefault="00EE418E" w:rsidP="001D583B">
      <w:pPr>
        <w:numPr>
          <w:ilvl w:val="0"/>
          <w:numId w:val="3"/>
        </w:numPr>
        <w:jc w:val="both"/>
        <w:rPr>
          <w:rFonts w:cs="Calibri"/>
          <w:lang w:val="el-GR"/>
        </w:rPr>
      </w:pPr>
      <w:r w:rsidRPr="00EE418E">
        <w:rPr>
          <w:rFonts w:cs="Calibri"/>
          <w:b/>
          <w:lang w:val="el-GR"/>
        </w:rPr>
        <w:t>Ανάγκη εκσυγχρονισμού και βελτίωσης της Οργάνωσης του Δημόσιου Τομέα</w:t>
      </w:r>
      <w:r w:rsidR="006778DC">
        <w:rPr>
          <w:rFonts w:cs="Calibri"/>
          <w:b/>
          <w:lang w:val="el-GR"/>
        </w:rPr>
        <w:t>.</w:t>
      </w:r>
    </w:p>
    <w:p w14:paraId="627B2D96" w14:textId="77777777" w:rsidR="00EE418E" w:rsidRPr="00EE418E" w:rsidRDefault="00EE418E" w:rsidP="00EE418E">
      <w:pPr>
        <w:jc w:val="both"/>
        <w:rPr>
          <w:rFonts w:cs="Calibri"/>
          <w:lang w:val="el-GR"/>
        </w:rPr>
      </w:pPr>
      <w:r w:rsidRPr="00EE418E">
        <w:rPr>
          <w:rFonts w:cs="Calibri"/>
          <w:lang w:val="el-GR"/>
        </w:rPr>
        <w:t xml:space="preserve">Παράλληλα, </w:t>
      </w:r>
      <w:r w:rsidRPr="003D2449">
        <w:rPr>
          <w:rFonts w:cs="Calibri"/>
          <w:b/>
          <w:lang w:val="el-GR"/>
        </w:rPr>
        <w:t>σημαντικές είναι οι προκλήσεις</w:t>
      </w:r>
      <w:r w:rsidRPr="00EE418E">
        <w:rPr>
          <w:rFonts w:cs="Calibri"/>
          <w:lang w:val="el-GR"/>
        </w:rPr>
        <w:t xml:space="preserve"> που αντιμετωπίζει η Κυπριακή οικονομία σχετικά με τις προοπτικές ανάπτυξης που παρουσιάζονται </w:t>
      </w:r>
      <w:r w:rsidRPr="003D2449">
        <w:rPr>
          <w:rFonts w:cs="Calibri"/>
          <w:b/>
          <w:lang w:val="el-GR"/>
        </w:rPr>
        <w:t>στον τομέα της γαλάζιας οικονομίας</w:t>
      </w:r>
      <w:r w:rsidRPr="00EE418E">
        <w:rPr>
          <w:rFonts w:cs="Calibri"/>
          <w:lang w:val="el-GR"/>
        </w:rPr>
        <w:t>. Ειδικότερα, η εν δυνάμει ύπαρξη σημαντικών ωφελειών από την αξιοποίηση των υπό έρευνα φυσικών πόρων στον τομέα των υδρογονανθράκων, μπορεί να συμβάλει στη βελτίωση του ενεργειακού ισοζυγίου της χώρας αλλά και ολόκληρης της οικονομίας. Αν και η ανάπτυξη σχετικών υποδομών αξιοποίησης των κοιτασμάτων υπερβαίνει κατά πολύ τους πόρους που χρηματοδοτούν την πολιτική των ΕΔΕΤ, εν τούτοις η επένδυση μπορεί να αποκτήσει δυναμική στο βαθμό που οι σχετικές έρευνες αποκαλύψουν επαρκή όγκο αποθεμάτων</w:t>
      </w:r>
      <w:r w:rsidR="00A40C67">
        <w:rPr>
          <w:rFonts w:cs="Calibri"/>
          <w:lang w:val="el-GR"/>
        </w:rPr>
        <w:t>,</w:t>
      </w:r>
      <w:r w:rsidRPr="00EE418E">
        <w:rPr>
          <w:rFonts w:cs="Calibri"/>
          <w:lang w:val="el-GR"/>
        </w:rPr>
        <w:t xml:space="preserve"> που να δικαιολογεί της σκοπιμότητα και τη βιωσιμότητα δραστηριοτήτων εξόρυξης και δημιουργίας κατάλληλων υποδομών εκμετάλλευσης των κοιτασμάτων.</w:t>
      </w:r>
      <w:r w:rsidR="003D2449" w:rsidRPr="003D2449">
        <w:rPr>
          <w:rFonts w:cs="Calibri"/>
          <w:lang w:val="el-GR"/>
        </w:rPr>
        <w:t xml:space="preserve"> </w:t>
      </w:r>
      <w:r w:rsidRPr="00EE418E">
        <w:rPr>
          <w:rFonts w:cs="Calibri"/>
          <w:lang w:val="el-GR"/>
        </w:rPr>
        <w:t>Επίσης, οι προοπτικές ανάπτυξης του θαλάσσιου τουρισμού</w:t>
      </w:r>
      <w:r w:rsidR="00A40C67">
        <w:rPr>
          <w:rFonts w:cs="Calibri"/>
          <w:lang w:val="el-GR"/>
        </w:rPr>
        <w:t>,</w:t>
      </w:r>
      <w:r w:rsidRPr="00EE418E">
        <w:rPr>
          <w:rFonts w:cs="Calibri"/>
          <w:lang w:val="el-GR"/>
        </w:rPr>
        <w:t xml:space="preserve"> μέσω της διασύνδεσης της Αδριατικής με το Ιόνιο Πέλαγος και την Ανατολική Μεσόγειο</w:t>
      </w:r>
      <w:r w:rsidR="00A40C67">
        <w:rPr>
          <w:rFonts w:cs="Calibri"/>
          <w:lang w:val="el-GR"/>
        </w:rPr>
        <w:t>,</w:t>
      </w:r>
      <w:r w:rsidRPr="00EE418E">
        <w:rPr>
          <w:rFonts w:cs="Calibri"/>
          <w:lang w:val="el-GR"/>
        </w:rPr>
        <w:t xml:space="preserve"> παρουσιάζουν σημαντικές ευκαιρίες διατομεακών συνεργ</w:t>
      </w:r>
      <w:r w:rsidR="00A40C67">
        <w:rPr>
          <w:rFonts w:cs="Calibri"/>
          <w:lang w:val="el-GR"/>
        </w:rPr>
        <w:t>ε</w:t>
      </w:r>
      <w:r w:rsidRPr="00EE418E">
        <w:rPr>
          <w:rFonts w:cs="Calibri"/>
          <w:lang w:val="el-GR"/>
        </w:rPr>
        <w:t>ιών για τη χώρα, δεδομένου ότι η Κύπρος αποτελεί έναν από τους βασικούς προορισμούς της ευρωπαϊκής ηπείρου για καταδυτικές δραστηριότητες.</w:t>
      </w:r>
    </w:p>
    <w:p w14:paraId="2A90BF04" w14:textId="22DE5652" w:rsidR="00EE418E" w:rsidRPr="00EE418E" w:rsidRDefault="00EE418E" w:rsidP="00EE418E">
      <w:pPr>
        <w:jc w:val="both"/>
        <w:rPr>
          <w:rFonts w:cs="Calibri"/>
          <w:lang w:val="el-GR"/>
        </w:rPr>
      </w:pPr>
      <w:r w:rsidRPr="00A43A24">
        <w:rPr>
          <w:rFonts w:cs="Calibri"/>
          <w:lang w:val="el-GR"/>
        </w:rPr>
        <w:t>Στο πλαίσιο αναπροσανατολισμού της Κυπριακής οικονομίας και αντιμετώπισης των παραπάνω αναπτυξιακών αναγκών</w:t>
      </w:r>
      <w:r w:rsidRPr="00EE418E">
        <w:rPr>
          <w:rFonts w:cs="Calibri"/>
          <w:lang w:val="el-GR"/>
        </w:rPr>
        <w:t xml:space="preserve"> ο </w:t>
      </w:r>
      <w:r w:rsidR="00A40C67" w:rsidRPr="00A40C67">
        <w:rPr>
          <w:rFonts w:cs="Calibri"/>
          <w:lang w:val="el-GR"/>
        </w:rPr>
        <w:t>π</w:t>
      </w:r>
      <w:r w:rsidRPr="00A40C67">
        <w:rPr>
          <w:rFonts w:cs="Calibri"/>
          <w:lang w:val="el-GR"/>
        </w:rPr>
        <w:t>ρογραμματισμός της περιόδου 2014-2020</w:t>
      </w:r>
      <w:r w:rsidRPr="00EE418E">
        <w:rPr>
          <w:rFonts w:cs="Calibri"/>
          <w:b/>
          <w:lang w:val="el-GR"/>
        </w:rPr>
        <w:t xml:space="preserve"> </w:t>
      </w:r>
      <w:r w:rsidR="00A43A24" w:rsidRPr="00A43A24">
        <w:rPr>
          <w:rFonts w:cs="Calibri"/>
          <w:lang w:val="el-GR"/>
        </w:rPr>
        <w:t>μ</w:t>
      </w:r>
      <w:r w:rsidR="00A43A24">
        <w:rPr>
          <w:rFonts w:cs="Calibri"/>
          <w:lang w:val="el-GR"/>
        </w:rPr>
        <w:t>έσω της ΣΕΣ θέτει ως στρατηγικό στόχο</w:t>
      </w:r>
      <w:r w:rsidR="00A43A24" w:rsidRPr="00A43A24">
        <w:rPr>
          <w:rFonts w:cs="Calibri"/>
          <w:lang w:val="el-GR"/>
        </w:rPr>
        <w:t xml:space="preserve"> </w:t>
      </w:r>
      <w:r w:rsidR="00A43A24" w:rsidRPr="00A43A24">
        <w:rPr>
          <w:rFonts w:cs="Calibri"/>
          <w:b/>
          <w:i/>
          <w:lang w:val="el-GR"/>
        </w:rPr>
        <w:t>«την αναδιάρθρωση της κυπριακής οικονομίας, τη διατήρηση και τη δημιουργία νέων θέσεων εργασίας και τη διασφάλιση της κοινωνικής συνοχής»</w:t>
      </w:r>
      <w:r w:rsidR="00A43A24">
        <w:rPr>
          <w:rFonts w:cs="Calibri"/>
          <w:lang w:val="el-GR"/>
        </w:rPr>
        <w:t>. Για την επίτευξη του στρατηγικού στόχου καθορίστηκαν</w:t>
      </w:r>
      <w:r w:rsidRPr="00EE418E">
        <w:rPr>
          <w:rFonts w:cs="Calibri"/>
          <w:lang w:val="el-GR"/>
        </w:rPr>
        <w:t xml:space="preserve"> </w:t>
      </w:r>
      <w:r w:rsidRPr="00A40C67">
        <w:rPr>
          <w:rFonts w:cs="Calibri"/>
          <w:b/>
          <w:lang w:val="el-GR"/>
        </w:rPr>
        <w:t>τρεις κύριες</w:t>
      </w:r>
      <w:r w:rsidRPr="00EE418E">
        <w:rPr>
          <w:rFonts w:cs="Calibri"/>
          <w:lang w:val="el-GR"/>
        </w:rPr>
        <w:t xml:space="preserve"> </w:t>
      </w:r>
      <w:r w:rsidRPr="00EE418E">
        <w:rPr>
          <w:rFonts w:cs="Calibri"/>
          <w:b/>
          <w:lang w:val="el-GR"/>
        </w:rPr>
        <w:t xml:space="preserve">προτεραιότητες χρηματοδότησης της Κυπριακής οικονομίας μέσω των ΕΔΕΤ, </w:t>
      </w:r>
      <w:r w:rsidRPr="00A40C67">
        <w:rPr>
          <w:rFonts w:cs="Calibri"/>
          <w:lang w:val="el-GR"/>
        </w:rPr>
        <w:t>υπό των οποίων υλοποιούνται στοχευμένες παρεμβάσεις και στους 11 Θεματικούς Στόχους του Κανονισμού Κοινών Διατάξεων.</w:t>
      </w:r>
      <w:r w:rsidRPr="00EE418E">
        <w:rPr>
          <w:rFonts w:cs="Calibri"/>
          <w:lang w:val="el-GR"/>
        </w:rPr>
        <w:t xml:space="preserve"> Ο Πίνακας που ακολουθεί συνοψίζει τη</w:t>
      </w:r>
      <w:r w:rsidR="00291C74">
        <w:rPr>
          <w:rFonts w:cs="Calibri"/>
          <w:lang w:val="el-GR"/>
        </w:rPr>
        <w:t>ν</w:t>
      </w:r>
      <w:r w:rsidRPr="00EE418E">
        <w:rPr>
          <w:rFonts w:cs="Calibri"/>
          <w:lang w:val="el-GR"/>
        </w:rPr>
        <w:t xml:space="preserve"> προαναφερόμενη διαρθρωτική προσέγγιση.</w:t>
      </w:r>
    </w:p>
    <w:p w14:paraId="0DFCC909" w14:textId="77777777" w:rsidR="00EE418E" w:rsidRPr="00EE418E" w:rsidRDefault="00EE418E" w:rsidP="00EE418E">
      <w:pPr>
        <w:jc w:val="both"/>
        <w:rPr>
          <w:rFonts w:cs="Calibri"/>
          <w:lang w:val="el-GR"/>
        </w:rPr>
      </w:pPr>
    </w:p>
    <w:p w14:paraId="35B903CF" w14:textId="77777777" w:rsidR="00EE418E" w:rsidRPr="00EE418E" w:rsidRDefault="00EE418E" w:rsidP="00EE418E">
      <w:pPr>
        <w:jc w:val="both"/>
        <w:rPr>
          <w:rFonts w:cs="Calibri"/>
          <w:b/>
          <w:lang w:val="el-GR"/>
        </w:rPr>
        <w:sectPr w:rsidR="00EE418E" w:rsidRPr="00EE418E" w:rsidSect="00B52132">
          <w:footerReference w:type="default" r:id="rId12"/>
          <w:pgSz w:w="12240" w:h="15840" w:code="1"/>
          <w:pgMar w:top="1134" w:right="1418" w:bottom="1134" w:left="1418" w:header="454" w:footer="454" w:gutter="0"/>
          <w:pgNumType w:start="1"/>
          <w:cols w:space="708"/>
          <w:docGrid w:linePitch="360"/>
        </w:sectPr>
      </w:pPr>
    </w:p>
    <w:tbl>
      <w:tblPr>
        <w:tblW w:w="5186" w:type="pct"/>
        <w:tblInd w:w="-29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38"/>
        <w:gridCol w:w="6285"/>
        <w:gridCol w:w="4544"/>
      </w:tblGrid>
      <w:tr w:rsidR="00EE418E" w:rsidRPr="00EE418E" w14:paraId="21132A26" w14:textId="77777777" w:rsidTr="00392E71">
        <w:trPr>
          <w:tblHeader/>
        </w:trPr>
        <w:tc>
          <w:tcPr>
            <w:tcW w:w="979"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15D3F61E" w14:textId="46A25E2E" w:rsidR="00EE418E" w:rsidRPr="00EE418E" w:rsidRDefault="00EE418E" w:rsidP="00B552D1">
            <w:pPr>
              <w:autoSpaceDE w:val="0"/>
              <w:autoSpaceDN w:val="0"/>
              <w:adjustRightInd w:val="0"/>
              <w:spacing w:after="0" w:line="240" w:lineRule="auto"/>
              <w:jc w:val="center"/>
              <w:rPr>
                <w:rFonts w:cs="Calibri"/>
                <w:b/>
                <w:bCs/>
                <w:iCs/>
                <w:color w:val="000000"/>
                <w:sz w:val="26"/>
                <w:szCs w:val="26"/>
                <w:lang w:val="el-GR"/>
              </w:rPr>
            </w:pPr>
            <w:r w:rsidRPr="00EE418E">
              <w:rPr>
                <w:rFonts w:cs="Calibri"/>
                <w:b/>
                <w:bCs/>
                <w:iCs/>
                <w:color w:val="000000"/>
                <w:sz w:val="26"/>
                <w:szCs w:val="26"/>
                <w:lang w:val="el-GR"/>
              </w:rPr>
              <w:lastRenderedPageBreak/>
              <w:t>Προτεραιότητα Χρημ</w:t>
            </w:r>
            <w:r w:rsidR="00A40C67">
              <w:rPr>
                <w:rFonts w:cs="Calibri"/>
                <w:b/>
                <w:bCs/>
                <w:iCs/>
                <w:color w:val="000000"/>
                <w:sz w:val="26"/>
                <w:szCs w:val="26"/>
                <w:lang w:val="el-GR"/>
              </w:rPr>
              <w:t>ατοδότη</w:t>
            </w:r>
            <w:r w:rsidRPr="00EE418E">
              <w:rPr>
                <w:rFonts w:cs="Calibri"/>
                <w:b/>
                <w:bCs/>
                <w:iCs/>
                <w:color w:val="000000"/>
                <w:sz w:val="26"/>
                <w:szCs w:val="26"/>
                <w:lang w:val="el-GR"/>
              </w:rPr>
              <w:t>σης</w:t>
            </w:r>
          </w:p>
        </w:tc>
        <w:tc>
          <w:tcPr>
            <w:tcW w:w="2333"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7F958F2C" w14:textId="77777777" w:rsidR="00EE418E" w:rsidRPr="00EE418E" w:rsidRDefault="00EE418E" w:rsidP="00B552D1">
            <w:pPr>
              <w:autoSpaceDE w:val="0"/>
              <w:autoSpaceDN w:val="0"/>
              <w:adjustRightInd w:val="0"/>
              <w:spacing w:after="0" w:line="240" w:lineRule="auto"/>
              <w:jc w:val="center"/>
              <w:rPr>
                <w:rFonts w:cs="Calibri"/>
                <w:b/>
                <w:bCs/>
                <w:iCs/>
                <w:color w:val="000000"/>
                <w:sz w:val="26"/>
                <w:szCs w:val="26"/>
                <w:lang w:val="el-GR"/>
              </w:rPr>
            </w:pPr>
            <w:r w:rsidRPr="00EE418E">
              <w:rPr>
                <w:rFonts w:cs="Calibri"/>
                <w:b/>
                <w:bCs/>
                <w:iCs/>
                <w:color w:val="000000"/>
                <w:sz w:val="26"/>
                <w:szCs w:val="26"/>
                <w:lang w:val="el-GR"/>
              </w:rPr>
              <w:t>Ανάγκες / Στρατηγικοί Στόχοι</w:t>
            </w:r>
          </w:p>
        </w:tc>
        <w:tc>
          <w:tcPr>
            <w:tcW w:w="1687"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27A2869E" w14:textId="77777777" w:rsidR="00EE418E" w:rsidRPr="00EE418E" w:rsidRDefault="00EE418E" w:rsidP="00B552D1">
            <w:pPr>
              <w:autoSpaceDE w:val="0"/>
              <w:autoSpaceDN w:val="0"/>
              <w:adjustRightInd w:val="0"/>
              <w:spacing w:after="0" w:line="240" w:lineRule="auto"/>
              <w:jc w:val="center"/>
              <w:rPr>
                <w:rFonts w:cs="Calibri"/>
                <w:b/>
                <w:bCs/>
                <w:iCs/>
                <w:color w:val="000000"/>
                <w:sz w:val="26"/>
                <w:szCs w:val="26"/>
                <w:lang w:val="el-GR"/>
              </w:rPr>
            </w:pPr>
            <w:r w:rsidRPr="00EE418E">
              <w:rPr>
                <w:rFonts w:cs="Calibri"/>
                <w:b/>
                <w:bCs/>
                <w:iCs/>
                <w:color w:val="000000"/>
                <w:sz w:val="26"/>
                <w:szCs w:val="26"/>
                <w:lang w:val="el-GR"/>
              </w:rPr>
              <w:t>Θεματικός Στόχος</w:t>
            </w:r>
          </w:p>
        </w:tc>
      </w:tr>
      <w:tr w:rsidR="00CF55AC" w:rsidRPr="00F77DB3" w14:paraId="487D1542" w14:textId="77777777" w:rsidTr="00392E71">
        <w:tc>
          <w:tcPr>
            <w:tcW w:w="979" w:type="pct"/>
            <w:vMerge w:val="restart"/>
            <w:tcBorders>
              <w:top w:val="single" w:sz="8" w:space="0" w:color="FFFFFF"/>
              <w:left w:val="single" w:sz="8" w:space="0" w:color="FFFFFF"/>
              <w:right w:val="single" w:sz="24" w:space="0" w:color="FFFFFF"/>
            </w:tcBorders>
            <w:shd w:val="clear" w:color="auto" w:fill="F79646"/>
            <w:vAlign w:val="center"/>
          </w:tcPr>
          <w:p w14:paraId="7744C9F8" w14:textId="58DF0A50" w:rsidR="00CF55AC" w:rsidRPr="00EE418E" w:rsidRDefault="00CF55AC" w:rsidP="001D583B">
            <w:pPr>
              <w:keepNext/>
              <w:numPr>
                <w:ilvl w:val="0"/>
                <w:numId w:val="5"/>
              </w:numPr>
              <w:tabs>
                <w:tab w:val="clear" w:pos="850"/>
                <w:tab w:val="num" w:pos="317"/>
              </w:tabs>
              <w:autoSpaceDE w:val="0"/>
              <w:autoSpaceDN w:val="0"/>
              <w:adjustRightInd w:val="0"/>
              <w:spacing w:after="0" w:line="240" w:lineRule="auto"/>
              <w:ind w:left="284" w:hanging="284"/>
              <w:outlineLvl w:val="0"/>
              <w:rPr>
                <w:rFonts w:cs="Calibri"/>
                <w:b/>
                <w:bCs/>
                <w:iCs/>
                <w:smallCaps/>
                <w:lang w:val="el-GR"/>
              </w:rPr>
            </w:pPr>
            <w:r w:rsidRPr="00EE418E">
              <w:rPr>
                <w:rFonts w:cs="Calibri"/>
                <w:b/>
                <w:bCs/>
                <w:iCs/>
                <w:smallCaps/>
                <w:color w:val="FFFFFF"/>
                <w:lang w:val="el-GR"/>
              </w:rPr>
              <w:t>Υποστήριξη της Αναδιάρθρωσης της Κυπριακής Οικονομίας και Ενίσχυση της Ανταγωνιστικότητας</w:t>
            </w:r>
            <w:r>
              <w:rPr>
                <w:rFonts w:cs="Calibri"/>
                <w:b/>
                <w:bCs/>
                <w:iCs/>
                <w:smallCaps/>
                <w:color w:val="FFFFFF"/>
                <w:lang w:val="el-GR"/>
              </w:rPr>
              <w:t xml:space="preserve"> τησ</w:t>
            </w:r>
          </w:p>
        </w:tc>
        <w:tc>
          <w:tcPr>
            <w:tcW w:w="2333" w:type="pct"/>
            <w:vMerge w:val="restart"/>
            <w:tcBorders>
              <w:top w:val="single" w:sz="8" w:space="0" w:color="FFFFFF"/>
              <w:left w:val="single" w:sz="8" w:space="0" w:color="FFFFFF"/>
              <w:right w:val="single" w:sz="8" w:space="0" w:color="FFFFFF"/>
            </w:tcBorders>
            <w:shd w:val="clear" w:color="auto" w:fill="FBCAA2"/>
          </w:tcPr>
          <w:p w14:paraId="25052AF4" w14:textId="77777777" w:rsidR="00CF55AC" w:rsidRPr="00EE418E" w:rsidRDefault="00CF55AC" w:rsidP="00B552D1">
            <w:pPr>
              <w:spacing w:after="0" w:line="240" w:lineRule="auto"/>
              <w:ind w:left="33"/>
              <w:jc w:val="both"/>
              <w:rPr>
                <w:rFonts w:cs="Calibri"/>
                <w:sz w:val="16"/>
                <w:szCs w:val="16"/>
                <w:lang w:val="el-GR"/>
              </w:rPr>
            </w:pPr>
            <w:r w:rsidRPr="00EE418E">
              <w:rPr>
                <w:rFonts w:cs="Calibri"/>
                <w:sz w:val="16"/>
                <w:szCs w:val="16"/>
                <w:lang w:val="el-GR"/>
              </w:rPr>
              <w:t xml:space="preserve">Επιδιώκεται </w:t>
            </w:r>
            <w:r w:rsidRPr="00EE418E">
              <w:rPr>
                <w:rFonts w:cs="Calibri"/>
                <w:b/>
                <w:sz w:val="16"/>
                <w:szCs w:val="16"/>
                <w:lang w:val="el-GR"/>
              </w:rPr>
              <w:t>ενίσχυση της ανταγωνιστικότητας</w:t>
            </w:r>
            <w:r w:rsidRPr="00EE418E">
              <w:rPr>
                <w:rFonts w:cs="Calibri"/>
                <w:sz w:val="16"/>
                <w:szCs w:val="16"/>
                <w:lang w:val="el-GR"/>
              </w:rPr>
              <w:t xml:space="preserve"> και </w:t>
            </w:r>
            <w:r w:rsidRPr="00EE418E">
              <w:rPr>
                <w:rFonts w:cs="Calibri"/>
                <w:b/>
                <w:sz w:val="16"/>
                <w:szCs w:val="16"/>
                <w:lang w:val="el-GR"/>
              </w:rPr>
              <w:t>βελτίωση στους παρακάτω τομείς</w:t>
            </w:r>
            <w:r w:rsidRPr="00EE418E">
              <w:rPr>
                <w:rFonts w:cs="Calibri"/>
                <w:sz w:val="16"/>
                <w:szCs w:val="16"/>
                <w:lang w:val="el-GR"/>
              </w:rPr>
              <w:t>:</w:t>
            </w:r>
          </w:p>
          <w:p w14:paraId="524D8FDB" w14:textId="77777777" w:rsidR="00CF55AC" w:rsidRPr="00EE418E" w:rsidRDefault="00CF55AC" w:rsidP="00B52132">
            <w:pPr>
              <w:numPr>
                <w:ilvl w:val="1"/>
                <w:numId w:val="6"/>
              </w:numPr>
              <w:spacing w:before="120" w:after="0" w:line="240" w:lineRule="auto"/>
              <w:ind w:left="458"/>
              <w:jc w:val="both"/>
              <w:rPr>
                <w:rFonts w:cs="Calibri"/>
                <w:sz w:val="16"/>
                <w:szCs w:val="16"/>
                <w:lang w:val="el-GR"/>
              </w:rPr>
            </w:pPr>
            <w:r w:rsidRPr="00EE418E">
              <w:rPr>
                <w:rFonts w:cs="Calibri"/>
                <w:sz w:val="16"/>
                <w:szCs w:val="16"/>
                <w:lang w:val="el-GR"/>
              </w:rPr>
              <w:t>Ενίσχυση της ανταγωνιστικότητας των ΜΜΕ και ενίσχυση της παραγωγής και προσφοράς προϊόντων και υπηρεσιών υψηλής προστιθέμενης αξίας</w:t>
            </w:r>
          </w:p>
          <w:p w14:paraId="0494ADC3" w14:textId="7F9B826A" w:rsidR="00CF55AC" w:rsidRPr="00EE418E" w:rsidRDefault="00CF55AC" w:rsidP="00B52132">
            <w:pPr>
              <w:numPr>
                <w:ilvl w:val="1"/>
                <w:numId w:val="6"/>
              </w:numPr>
              <w:spacing w:before="120" w:after="0" w:line="240" w:lineRule="auto"/>
              <w:ind w:left="458"/>
              <w:jc w:val="both"/>
              <w:rPr>
                <w:rFonts w:cs="Calibri"/>
                <w:sz w:val="16"/>
                <w:szCs w:val="16"/>
                <w:lang w:val="el-GR"/>
              </w:rPr>
            </w:pPr>
            <w:r w:rsidRPr="00EE418E">
              <w:rPr>
                <w:rFonts w:cs="Calibri"/>
                <w:sz w:val="16"/>
                <w:szCs w:val="16"/>
                <w:lang w:val="el-GR"/>
              </w:rPr>
              <w:t>Βελτίωση της πρόσβασης, της χρήσης και της ποιότητας των Τεχνολογιών Πληροφορ</w:t>
            </w:r>
            <w:r>
              <w:rPr>
                <w:rFonts w:cs="Calibri"/>
                <w:sz w:val="16"/>
                <w:szCs w:val="16"/>
                <w:lang w:val="el-GR"/>
              </w:rPr>
              <w:t>ίας</w:t>
            </w:r>
            <w:r w:rsidRPr="00EE418E">
              <w:rPr>
                <w:rFonts w:cs="Calibri"/>
                <w:sz w:val="16"/>
                <w:szCs w:val="16"/>
                <w:lang w:val="el-GR"/>
              </w:rPr>
              <w:t xml:space="preserve"> και Επικοινωνιών στον ιδιωτικό και δημόσιο τομέα</w:t>
            </w:r>
          </w:p>
          <w:p w14:paraId="56DAC637" w14:textId="77777777" w:rsidR="00CF55AC" w:rsidRPr="00EE418E" w:rsidRDefault="00CF55AC" w:rsidP="00B52132">
            <w:pPr>
              <w:numPr>
                <w:ilvl w:val="1"/>
                <w:numId w:val="6"/>
              </w:numPr>
              <w:spacing w:before="120" w:after="0" w:line="240" w:lineRule="auto"/>
              <w:ind w:left="458"/>
              <w:jc w:val="both"/>
              <w:rPr>
                <w:rFonts w:cs="Calibri"/>
                <w:sz w:val="16"/>
                <w:szCs w:val="16"/>
                <w:lang w:val="el-GR"/>
              </w:rPr>
            </w:pPr>
            <w:r w:rsidRPr="00EE418E">
              <w:rPr>
                <w:rFonts w:cs="Calibri"/>
                <w:sz w:val="16"/>
                <w:szCs w:val="16"/>
                <w:lang w:val="el-GR"/>
              </w:rPr>
              <w:t>Ενίσχυση της ερευνητικής δραστηριότητας και της καινοτομίας</w:t>
            </w:r>
          </w:p>
          <w:p w14:paraId="2C0CB72E" w14:textId="1DB00D15" w:rsidR="00CF55AC" w:rsidRDefault="00CF55AC" w:rsidP="00B52132">
            <w:pPr>
              <w:numPr>
                <w:ilvl w:val="1"/>
                <w:numId w:val="6"/>
              </w:numPr>
              <w:spacing w:before="120" w:after="0" w:line="240" w:lineRule="auto"/>
              <w:ind w:left="458"/>
              <w:jc w:val="both"/>
              <w:rPr>
                <w:rFonts w:cs="Calibri"/>
                <w:sz w:val="16"/>
                <w:szCs w:val="16"/>
                <w:lang w:val="el-GR"/>
              </w:rPr>
            </w:pPr>
            <w:r w:rsidRPr="00EE418E">
              <w:rPr>
                <w:rFonts w:cs="Calibri"/>
                <w:sz w:val="16"/>
                <w:szCs w:val="16"/>
                <w:lang w:val="el-GR"/>
              </w:rPr>
              <w:t xml:space="preserve">Ενίσχυση του τομέα των </w:t>
            </w:r>
            <w:r>
              <w:rPr>
                <w:rFonts w:cs="Calibri"/>
                <w:sz w:val="16"/>
                <w:szCs w:val="16"/>
                <w:lang w:val="el-GR"/>
              </w:rPr>
              <w:t>μ</w:t>
            </w:r>
            <w:r w:rsidRPr="00EE418E">
              <w:rPr>
                <w:rFonts w:cs="Calibri"/>
                <w:sz w:val="16"/>
                <w:szCs w:val="16"/>
                <w:lang w:val="el-GR"/>
              </w:rPr>
              <w:t>εταφορών</w:t>
            </w:r>
          </w:p>
          <w:p w14:paraId="03023D2A" w14:textId="65C73018" w:rsidR="00CF55AC" w:rsidRPr="00EE418E" w:rsidRDefault="00CF55AC" w:rsidP="00B52132">
            <w:pPr>
              <w:numPr>
                <w:ilvl w:val="1"/>
                <w:numId w:val="6"/>
              </w:numPr>
              <w:spacing w:before="120" w:after="0" w:line="240" w:lineRule="auto"/>
              <w:ind w:left="458"/>
              <w:jc w:val="both"/>
              <w:rPr>
                <w:rFonts w:cs="Calibri"/>
                <w:sz w:val="16"/>
                <w:szCs w:val="16"/>
                <w:lang w:val="el-GR"/>
              </w:rPr>
            </w:pPr>
            <w:r w:rsidRPr="00EE418E">
              <w:rPr>
                <w:rFonts w:cs="Calibri"/>
                <w:sz w:val="16"/>
                <w:szCs w:val="16"/>
                <w:lang w:val="el-GR"/>
              </w:rPr>
              <w:t xml:space="preserve">Εκσυγχρονισμός και </w:t>
            </w:r>
            <w:r>
              <w:rPr>
                <w:rFonts w:cs="Calibri"/>
                <w:sz w:val="16"/>
                <w:szCs w:val="16"/>
                <w:lang w:val="el-GR"/>
              </w:rPr>
              <w:t>β</w:t>
            </w:r>
            <w:r w:rsidRPr="00EE418E">
              <w:rPr>
                <w:rFonts w:cs="Calibri"/>
                <w:sz w:val="16"/>
                <w:szCs w:val="16"/>
                <w:lang w:val="el-GR"/>
              </w:rPr>
              <w:t xml:space="preserve">ελτίωση της αποδοτικότητας του </w:t>
            </w:r>
            <w:r>
              <w:rPr>
                <w:rFonts w:cs="Calibri"/>
                <w:sz w:val="16"/>
                <w:szCs w:val="16"/>
                <w:lang w:val="el-GR"/>
              </w:rPr>
              <w:t>δ</w:t>
            </w:r>
            <w:r w:rsidRPr="00EE418E">
              <w:rPr>
                <w:rFonts w:cs="Calibri"/>
                <w:sz w:val="16"/>
                <w:szCs w:val="16"/>
                <w:lang w:val="el-GR"/>
              </w:rPr>
              <w:t xml:space="preserve">ημόσιου </w:t>
            </w:r>
            <w:r>
              <w:rPr>
                <w:rFonts w:cs="Calibri"/>
                <w:sz w:val="16"/>
                <w:szCs w:val="16"/>
                <w:lang w:val="el-GR"/>
              </w:rPr>
              <w:t>τ</w:t>
            </w:r>
            <w:r w:rsidRPr="00EE418E">
              <w:rPr>
                <w:rFonts w:cs="Calibri"/>
                <w:sz w:val="16"/>
                <w:szCs w:val="16"/>
                <w:lang w:val="el-GR"/>
              </w:rPr>
              <w:t>ομέα</w:t>
            </w:r>
          </w:p>
        </w:tc>
        <w:tc>
          <w:tcPr>
            <w:tcW w:w="168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07F1209E" w14:textId="77777777" w:rsidR="00CF55AC" w:rsidRPr="00EE418E" w:rsidRDefault="00CF55AC" w:rsidP="00B552D1">
            <w:pPr>
              <w:autoSpaceDE w:val="0"/>
              <w:autoSpaceDN w:val="0"/>
              <w:adjustRightInd w:val="0"/>
              <w:spacing w:after="0" w:line="240" w:lineRule="auto"/>
              <w:rPr>
                <w:rFonts w:cs="Calibri"/>
                <w:b/>
                <w:i/>
                <w:iCs/>
                <w:color w:val="000000"/>
                <w:sz w:val="16"/>
                <w:szCs w:val="16"/>
                <w:lang w:val="el-GR"/>
              </w:rPr>
            </w:pPr>
            <w:r w:rsidRPr="00EE418E">
              <w:rPr>
                <w:rFonts w:cs="Calibri"/>
                <w:b/>
                <w:i/>
                <w:iCs/>
                <w:color w:val="000000"/>
                <w:sz w:val="16"/>
                <w:szCs w:val="16"/>
                <w:lang w:val="el-GR"/>
              </w:rPr>
              <w:t>1. Ενίσχυση της Έρευνας, της Τεχνολογικής Ανάπτυξης και της Καινοτομίας</w:t>
            </w:r>
          </w:p>
        </w:tc>
      </w:tr>
      <w:tr w:rsidR="00CF55AC" w:rsidRPr="00F77DB3" w14:paraId="2B6141EC" w14:textId="77777777" w:rsidTr="00392E71">
        <w:tc>
          <w:tcPr>
            <w:tcW w:w="979" w:type="pct"/>
            <w:vMerge/>
            <w:tcBorders>
              <w:left w:val="single" w:sz="8" w:space="0" w:color="FFFFFF"/>
              <w:right w:val="single" w:sz="24" w:space="0" w:color="FFFFFF"/>
            </w:tcBorders>
            <w:shd w:val="clear" w:color="auto" w:fill="F79646"/>
            <w:vAlign w:val="center"/>
          </w:tcPr>
          <w:p w14:paraId="01A556DE" w14:textId="77777777" w:rsidR="00CF55AC" w:rsidRPr="00EE418E" w:rsidRDefault="00CF55AC" w:rsidP="00B552D1">
            <w:pPr>
              <w:autoSpaceDE w:val="0"/>
              <w:autoSpaceDN w:val="0"/>
              <w:adjustRightInd w:val="0"/>
              <w:spacing w:after="0" w:line="240" w:lineRule="auto"/>
              <w:rPr>
                <w:rFonts w:cs="Calibri"/>
                <w:b/>
                <w:bCs/>
                <w:iCs/>
                <w:color w:val="000000"/>
                <w:lang w:val="el-GR"/>
              </w:rPr>
            </w:pPr>
          </w:p>
        </w:tc>
        <w:tc>
          <w:tcPr>
            <w:tcW w:w="2333" w:type="pct"/>
            <w:vMerge/>
            <w:tcBorders>
              <w:left w:val="single" w:sz="8" w:space="0" w:color="FFFFFF"/>
              <w:right w:val="single" w:sz="8" w:space="0" w:color="FFFFFF"/>
            </w:tcBorders>
            <w:shd w:val="clear" w:color="auto" w:fill="FBCAA2"/>
          </w:tcPr>
          <w:p w14:paraId="3F023B4B" w14:textId="77777777" w:rsidR="00CF55AC" w:rsidRPr="00EE418E" w:rsidRDefault="00CF55AC" w:rsidP="00B552D1">
            <w:pPr>
              <w:autoSpaceDE w:val="0"/>
              <w:autoSpaceDN w:val="0"/>
              <w:adjustRightInd w:val="0"/>
              <w:spacing w:after="0" w:line="240" w:lineRule="auto"/>
              <w:rPr>
                <w:rFonts w:cs="Calibri"/>
                <w:b/>
                <w:i/>
                <w:iCs/>
                <w:color w:val="000000"/>
                <w:sz w:val="16"/>
                <w:szCs w:val="16"/>
                <w:lang w:val="el-GR"/>
              </w:rPr>
            </w:pPr>
          </w:p>
        </w:tc>
        <w:tc>
          <w:tcPr>
            <w:tcW w:w="1687" w:type="pct"/>
            <w:tcBorders>
              <w:top w:val="single" w:sz="8" w:space="0" w:color="FFFFFF"/>
              <w:left w:val="single" w:sz="8" w:space="0" w:color="FFFFFF"/>
              <w:bottom w:val="single" w:sz="8" w:space="0" w:color="FFFFFF"/>
              <w:right w:val="nil"/>
            </w:tcBorders>
            <w:shd w:val="clear" w:color="auto" w:fill="FBCAA2"/>
            <w:vAlign w:val="center"/>
          </w:tcPr>
          <w:p w14:paraId="53A99260" w14:textId="4529AF80" w:rsidR="00CF55AC" w:rsidRPr="00EE418E" w:rsidRDefault="00CF55AC" w:rsidP="00B552D1">
            <w:pPr>
              <w:autoSpaceDE w:val="0"/>
              <w:autoSpaceDN w:val="0"/>
              <w:adjustRightInd w:val="0"/>
              <w:spacing w:after="0" w:line="240" w:lineRule="auto"/>
              <w:rPr>
                <w:rFonts w:cs="Calibri"/>
                <w:b/>
                <w:i/>
                <w:iCs/>
                <w:color w:val="000000"/>
                <w:sz w:val="16"/>
                <w:szCs w:val="16"/>
                <w:lang w:val="el-GR"/>
              </w:rPr>
            </w:pPr>
            <w:r w:rsidRPr="00EE418E">
              <w:rPr>
                <w:rFonts w:cs="Calibri"/>
                <w:b/>
                <w:i/>
                <w:iCs/>
                <w:color w:val="000000"/>
                <w:sz w:val="16"/>
                <w:szCs w:val="16"/>
                <w:lang w:val="el-GR"/>
              </w:rPr>
              <w:t>2. Βελτίωση της Πρόσβασης, της Χρήσης και της Ποιότητας των Τεχνολογιών Πληροφορ</w:t>
            </w:r>
            <w:r>
              <w:rPr>
                <w:rFonts w:cs="Calibri"/>
                <w:b/>
                <w:i/>
                <w:iCs/>
                <w:color w:val="000000"/>
                <w:sz w:val="16"/>
                <w:szCs w:val="16"/>
                <w:lang w:val="el-GR"/>
              </w:rPr>
              <w:t>ίας</w:t>
            </w:r>
            <w:r w:rsidRPr="00EE418E">
              <w:rPr>
                <w:rFonts w:cs="Calibri"/>
                <w:b/>
                <w:i/>
                <w:iCs/>
                <w:color w:val="000000"/>
                <w:sz w:val="16"/>
                <w:szCs w:val="16"/>
                <w:lang w:val="el-GR"/>
              </w:rPr>
              <w:t xml:space="preserve"> και Επικοινων</w:t>
            </w:r>
            <w:r>
              <w:rPr>
                <w:rFonts w:cs="Calibri"/>
                <w:b/>
                <w:i/>
                <w:iCs/>
                <w:color w:val="000000"/>
                <w:sz w:val="16"/>
                <w:szCs w:val="16"/>
                <w:lang w:val="el-GR"/>
              </w:rPr>
              <w:t>ιών</w:t>
            </w:r>
          </w:p>
        </w:tc>
      </w:tr>
      <w:tr w:rsidR="00CF55AC" w:rsidRPr="00F77DB3" w14:paraId="605CD37C" w14:textId="77777777" w:rsidTr="00392E71">
        <w:tc>
          <w:tcPr>
            <w:tcW w:w="979" w:type="pct"/>
            <w:vMerge/>
            <w:tcBorders>
              <w:left w:val="single" w:sz="8" w:space="0" w:color="FFFFFF"/>
              <w:right w:val="single" w:sz="24" w:space="0" w:color="FFFFFF"/>
            </w:tcBorders>
            <w:shd w:val="clear" w:color="auto" w:fill="F79646"/>
            <w:vAlign w:val="center"/>
          </w:tcPr>
          <w:p w14:paraId="4D2AB46E" w14:textId="77777777" w:rsidR="00CF55AC" w:rsidRPr="00EE418E" w:rsidRDefault="00CF55AC" w:rsidP="00B552D1">
            <w:pPr>
              <w:autoSpaceDE w:val="0"/>
              <w:autoSpaceDN w:val="0"/>
              <w:adjustRightInd w:val="0"/>
              <w:spacing w:after="0" w:line="240" w:lineRule="auto"/>
              <w:rPr>
                <w:rFonts w:cs="Calibri"/>
                <w:b/>
                <w:bCs/>
                <w:iCs/>
                <w:color w:val="000000"/>
                <w:lang w:val="el-GR"/>
              </w:rPr>
            </w:pPr>
          </w:p>
        </w:tc>
        <w:tc>
          <w:tcPr>
            <w:tcW w:w="2333" w:type="pct"/>
            <w:vMerge/>
            <w:tcBorders>
              <w:left w:val="single" w:sz="8" w:space="0" w:color="FFFFFF"/>
              <w:right w:val="single" w:sz="8" w:space="0" w:color="FFFFFF"/>
            </w:tcBorders>
            <w:shd w:val="clear" w:color="auto" w:fill="FBCAA2"/>
          </w:tcPr>
          <w:p w14:paraId="7A58B48D" w14:textId="77777777" w:rsidR="00CF55AC" w:rsidRPr="00EE418E" w:rsidRDefault="00CF55AC" w:rsidP="00B552D1">
            <w:pPr>
              <w:autoSpaceDE w:val="0"/>
              <w:autoSpaceDN w:val="0"/>
              <w:adjustRightInd w:val="0"/>
              <w:spacing w:after="0" w:line="240" w:lineRule="auto"/>
              <w:rPr>
                <w:rFonts w:cs="Calibri"/>
                <w:b/>
                <w:i/>
                <w:iCs/>
                <w:color w:val="000000"/>
                <w:sz w:val="16"/>
                <w:szCs w:val="16"/>
                <w:lang w:val="el-GR"/>
              </w:rPr>
            </w:pPr>
          </w:p>
        </w:tc>
        <w:tc>
          <w:tcPr>
            <w:tcW w:w="1687" w:type="pct"/>
            <w:tcBorders>
              <w:top w:val="single" w:sz="8" w:space="0" w:color="FFFFFF"/>
              <w:left w:val="single" w:sz="8" w:space="0" w:color="FFFFFF"/>
              <w:bottom w:val="nil"/>
              <w:right w:val="nil"/>
            </w:tcBorders>
            <w:shd w:val="clear" w:color="auto" w:fill="FBCAA2"/>
            <w:vAlign w:val="center"/>
          </w:tcPr>
          <w:p w14:paraId="38138833" w14:textId="6B3E8DDA" w:rsidR="00CF55AC" w:rsidRPr="00EE418E" w:rsidRDefault="00CF55AC" w:rsidP="00B552D1">
            <w:pPr>
              <w:autoSpaceDE w:val="0"/>
              <w:autoSpaceDN w:val="0"/>
              <w:adjustRightInd w:val="0"/>
              <w:spacing w:after="0" w:line="240" w:lineRule="auto"/>
              <w:rPr>
                <w:rFonts w:cs="Calibri"/>
                <w:b/>
                <w:i/>
                <w:iCs/>
                <w:color w:val="000000"/>
                <w:sz w:val="16"/>
                <w:szCs w:val="16"/>
                <w:lang w:val="el-GR"/>
              </w:rPr>
            </w:pPr>
            <w:r w:rsidRPr="00EE418E">
              <w:rPr>
                <w:rFonts w:cs="Calibri"/>
                <w:b/>
                <w:i/>
                <w:iCs/>
                <w:color w:val="000000"/>
                <w:sz w:val="16"/>
                <w:szCs w:val="16"/>
                <w:lang w:val="el-GR"/>
              </w:rPr>
              <w:t xml:space="preserve">3. Βελτίωση της Ανταγωνιστικότητας των </w:t>
            </w:r>
            <w:r>
              <w:rPr>
                <w:rFonts w:cs="Calibri"/>
                <w:b/>
                <w:i/>
                <w:iCs/>
                <w:color w:val="000000"/>
                <w:sz w:val="16"/>
                <w:szCs w:val="16"/>
                <w:lang w:val="el-GR"/>
              </w:rPr>
              <w:t>ΜΜΕ</w:t>
            </w:r>
            <w:r w:rsidRPr="00EE418E">
              <w:rPr>
                <w:rFonts w:cs="Calibri"/>
                <w:b/>
                <w:i/>
                <w:iCs/>
                <w:color w:val="000000"/>
                <w:sz w:val="16"/>
                <w:szCs w:val="16"/>
                <w:lang w:val="el-GR"/>
              </w:rPr>
              <w:t xml:space="preserve"> συμπεριλαμβανομένων των τομέων της γεωργίας, της αλιείας και της υδατοκαλλιέργειας</w:t>
            </w:r>
          </w:p>
        </w:tc>
      </w:tr>
      <w:tr w:rsidR="00CF55AC" w:rsidRPr="00F77DB3" w14:paraId="71483273" w14:textId="77777777" w:rsidTr="00392E71">
        <w:tc>
          <w:tcPr>
            <w:tcW w:w="979" w:type="pct"/>
            <w:vMerge/>
            <w:tcBorders>
              <w:left w:val="single" w:sz="8" w:space="0" w:color="FFFFFF"/>
              <w:right w:val="single" w:sz="24" w:space="0" w:color="FFFFFF"/>
            </w:tcBorders>
            <w:shd w:val="clear" w:color="auto" w:fill="F79646"/>
            <w:vAlign w:val="center"/>
          </w:tcPr>
          <w:p w14:paraId="642A1669" w14:textId="77777777" w:rsidR="00CF55AC" w:rsidRPr="00EE418E" w:rsidRDefault="00CF55AC" w:rsidP="00B552D1">
            <w:pPr>
              <w:autoSpaceDE w:val="0"/>
              <w:autoSpaceDN w:val="0"/>
              <w:adjustRightInd w:val="0"/>
              <w:spacing w:after="0" w:line="240" w:lineRule="auto"/>
              <w:rPr>
                <w:rFonts w:cs="Calibri"/>
                <w:b/>
                <w:bCs/>
                <w:iCs/>
                <w:color w:val="000000"/>
                <w:lang w:val="el-GR"/>
              </w:rPr>
            </w:pPr>
          </w:p>
        </w:tc>
        <w:tc>
          <w:tcPr>
            <w:tcW w:w="2333" w:type="pct"/>
            <w:vMerge/>
            <w:tcBorders>
              <w:left w:val="single" w:sz="8" w:space="0" w:color="FFFFFF"/>
              <w:right w:val="single" w:sz="8" w:space="0" w:color="FFFFFF"/>
            </w:tcBorders>
            <w:shd w:val="clear" w:color="auto" w:fill="FBCAA2"/>
          </w:tcPr>
          <w:p w14:paraId="3DAA963B" w14:textId="77777777" w:rsidR="00CF55AC" w:rsidRPr="00EE418E" w:rsidRDefault="00CF55AC" w:rsidP="00B552D1">
            <w:pPr>
              <w:autoSpaceDE w:val="0"/>
              <w:autoSpaceDN w:val="0"/>
              <w:adjustRightInd w:val="0"/>
              <w:spacing w:after="0" w:line="240" w:lineRule="auto"/>
              <w:rPr>
                <w:rFonts w:cs="Calibri"/>
                <w:b/>
                <w:i/>
                <w:iCs/>
                <w:color w:val="000000"/>
                <w:sz w:val="16"/>
                <w:szCs w:val="16"/>
                <w:lang w:val="el-GR"/>
              </w:rPr>
            </w:pPr>
          </w:p>
        </w:tc>
        <w:tc>
          <w:tcPr>
            <w:tcW w:w="1687" w:type="pct"/>
            <w:tcBorders>
              <w:top w:val="nil"/>
              <w:left w:val="single" w:sz="8" w:space="0" w:color="FFFFFF"/>
              <w:bottom w:val="single" w:sz="8" w:space="0" w:color="FFFFFF"/>
              <w:right w:val="single" w:sz="8" w:space="0" w:color="FFFFFF"/>
            </w:tcBorders>
            <w:shd w:val="clear" w:color="auto" w:fill="FBCAA2"/>
            <w:vAlign w:val="center"/>
          </w:tcPr>
          <w:p w14:paraId="54523857" w14:textId="77777777" w:rsidR="00CF55AC" w:rsidRPr="00EE418E" w:rsidRDefault="00CF55AC" w:rsidP="00B552D1">
            <w:pPr>
              <w:autoSpaceDE w:val="0"/>
              <w:autoSpaceDN w:val="0"/>
              <w:adjustRightInd w:val="0"/>
              <w:spacing w:after="0" w:line="240" w:lineRule="auto"/>
              <w:rPr>
                <w:rFonts w:cs="Calibri"/>
                <w:b/>
                <w:i/>
                <w:iCs/>
                <w:color w:val="000000"/>
                <w:sz w:val="16"/>
                <w:szCs w:val="16"/>
                <w:lang w:val="el-GR"/>
              </w:rPr>
            </w:pPr>
            <w:r w:rsidRPr="00EE418E">
              <w:rPr>
                <w:rFonts w:cs="Calibri"/>
                <w:b/>
                <w:i/>
                <w:iCs/>
                <w:color w:val="000000"/>
                <w:sz w:val="16"/>
                <w:szCs w:val="16"/>
                <w:lang w:val="el-GR"/>
              </w:rPr>
              <w:t>7. Προώθηση των Βιώσιμων Μεταφορών και Άρση των Εμποδίων σε Βασικές Υποδομές Δικτύων</w:t>
            </w:r>
          </w:p>
        </w:tc>
      </w:tr>
      <w:tr w:rsidR="00CF55AC" w:rsidRPr="00F77DB3" w14:paraId="1B210524" w14:textId="77777777" w:rsidTr="00392E71">
        <w:tc>
          <w:tcPr>
            <w:tcW w:w="979" w:type="pct"/>
            <w:vMerge/>
            <w:tcBorders>
              <w:left w:val="single" w:sz="8" w:space="0" w:color="FFFFFF"/>
              <w:right w:val="single" w:sz="24" w:space="0" w:color="FFFFFF"/>
            </w:tcBorders>
            <w:shd w:val="clear" w:color="auto" w:fill="F79646"/>
            <w:vAlign w:val="center"/>
          </w:tcPr>
          <w:p w14:paraId="01A54527" w14:textId="77777777" w:rsidR="00CF55AC" w:rsidRPr="00EE418E" w:rsidRDefault="00CF55AC" w:rsidP="00CF55AC">
            <w:pPr>
              <w:autoSpaceDE w:val="0"/>
              <w:autoSpaceDN w:val="0"/>
              <w:adjustRightInd w:val="0"/>
              <w:spacing w:after="0" w:line="240" w:lineRule="auto"/>
              <w:rPr>
                <w:rFonts w:cs="Calibri"/>
                <w:b/>
                <w:bCs/>
                <w:iCs/>
                <w:color w:val="000000"/>
                <w:lang w:val="el-GR"/>
              </w:rPr>
            </w:pPr>
          </w:p>
        </w:tc>
        <w:tc>
          <w:tcPr>
            <w:tcW w:w="2333" w:type="pct"/>
            <w:vMerge/>
            <w:tcBorders>
              <w:left w:val="single" w:sz="8" w:space="0" w:color="FFFFFF"/>
              <w:right w:val="single" w:sz="8" w:space="0" w:color="FFFFFF"/>
            </w:tcBorders>
            <w:shd w:val="clear" w:color="auto" w:fill="FBCAA2"/>
          </w:tcPr>
          <w:p w14:paraId="3C5A9DD8" w14:textId="77777777" w:rsidR="00CF55AC" w:rsidRPr="00EE418E" w:rsidRDefault="00CF55AC" w:rsidP="00CF55AC">
            <w:pPr>
              <w:autoSpaceDE w:val="0"/>
              <w:autoSpaceDN w:val="0"/>
              <w:adjustRightInd w:val="0"/>
              <w:spacing w:after="0" w:line="240" w:lineRule="auto"/>
              <w:rPr>
                <w:rFonts w:cs="Calibri"/>
                <w:b/>
                <w:i/>
                <w:iCs/>
                <w:color w:val="000000"/>
                <w:sz w:val="16"/>
                <w:szCs w:val="16"/>
                <w:lang w:val="el-GR"/>
              </w:rPr>
            </w:pPr>
          </w:p>
        </w:tc>
        <w:tc>
          <w:tcPr>
            <w:tcW w:w="1687" w:type="pct"/>
            <w:tcBorders>
              <w:top w:val="nil"/>
              <w:left w:val="single" w:sz="8" w:space="0" w:color="FFFFFF"/>
              <w:bottom w:val="single" w:sz="8" w:space="0" w:color="FFFFFF"/>
              <w:right w:val="single" w:sz="8" w:space="0" w:color="FFFFFF"/>
            </w:tcBorders>
            <w:shd w:val="clear" w:color="auto" w:fill="FBCAA2"/>
            <w:vAlign w:val="center"/>
          </w:tcPr>
          <w:p w14:paraId="7B66358B" w14:textId="1302CA59" w:rsidR="00CF55AC" w:rsidRPr="00EE418E" w:rsidRDefault="00CF55AC" w:rsidP="00CF55AC">
            <w:pPr>
              <w:autoSpaceDE w:val="0"/>
              <w:autoSpaceDN w:val="0"/>
              <w:adjustRightInd w:val="0"/>
              <w:spacing w:after="0" w:line="240" w:lineRule="auto"/>
              <w:rPr>
                <w:rFonts w:cs="Calibri"/>
                <w:b/>
                <w:i/>
                <w:iCs/>
                <w:color w:val="000000"/>
                <w:sz w:val="16"/>
                <w:szCs w:val="16"/>
                <w:lang w:val="el-GR"/>
              </w:rPr>
            </w:pPr>
            <w:r w:rsidRPr="00EE418E">
              <w:rPr>
                <w:rFonts w:cs="Calibri"/>
                <w:b/>
                <w:i/>
                <w:iCs/>
                <w:color w:val="000000"/>
                <w:sz w:val="16"/>
                <w:szCs w:val="16"/>
                <w:lang w:val="el-GR"/>
              </w:rPr>
              <w:t xml:space="preserve">11. Ενίσχυση της θεσμικής ικανότητας των δημόσιων αρχών και των ενδιαφερόμενων φορέων και της αποτελεσματικής </w:t>
            </w:r>
            <w:r>
              <w:rPr>
                <w:rFonts w:cs="Calibri"/>
                <w:b/>
                <w:i/>
                <w:iCs/>
                <w:color w:val="000000"/>
                <w:sz w:val="16"/>
                <w:szCs w:val="16"/>
                <w:lang w:val="el-GR"/>
              </w:rPr>
              <w:t xml:space="preserve">δημόσιας </w:t>
            </w:r>
            <w:r w:rsidRPr="00EE418E">
              <w:rPr>
                <w:rFonts w:cs="Calibri"/>
                <w:b/>
                <w:i/>
                <w:iCs/>
                <w:color w:val="000000"/>
                <w:sz w:val="16"/>
                <w:szCs w:val="16"/>
                <w:lang w:val="el-GR"/>
              </w:rPr>
              <w:t>διοίκησης</w:t>
            </w:r>
          </w:p>
        </w:tc>
      </w:tr>
      <w:tr w:rsidR="00CF55AC" w:rsidRPr="00F77DB3" w14:paraId="70E739F6" w14:textId="77777777" w:rsidTr="00392E71">
        <w:trPr>
          <w:trHeight w:val="375"/>
        </w:trPr>
        <w:tc>
          <w:tcPr>
            <w:tcW w:w="979" w:type="pct"/>
            <w:vMerge w:val="restart"/>
            <w:tcBorders>
              <w:top w:val="single" w:sz="8" w:space="0" w:color="FFFFFF"/>
              <w:left w:val="single" w:sz="8" w:space="0" w:color="FFFFFF"/>
              <w:right w:val="single" w:sz="24" w:space="0" w:color="FFFFFF"/>
            </w:tcBorders>
            <w:shd w:val="clear" w:color="auto" w:fill="F79646"/>
            <w:vAlign w:val="center"/>
          </w:tcPr>
          <w:p w14:paraId="79C4659A" w14:textId="77777777" w:rsidR="00CF55AC" w:rsidRPr="00EE418E" w:rsidRDefault="00CF55AC" w:rsidP="001D583B">
            <w:pPr>
              <w:keepNext/>
              <w:numPr>
                <w:ilvl w:val="0"/>
                <w:numId w:val="5"/>
              </w:numPr>
              <w:tabs>
                <w:tab w:val="clear" w:pos="850"/>
                <w:tab w:val="num" w:pos="317"/>
              </w:tabs>
              <w:autoSpaceDE w:val="0"/>
              <w:autoSpaceDN w:val="0"/>
              <w:adjustRightInd w:val="0"/>
              <w:spacing w:after="0" w:line="240" w:lineRule="auto"/>
              <w:ind w:left="284" w:hanging="284"/>
              <w:outlineLvl w:val="0"/>
              <w:rPr>
                <w:rFonts w:ascii="Times New Roman" w:hAnsi="Times New Roman" w:cs="Calibri"/>
                <w:b/>
                <w:bCs/>
                <w:iCs/>
                <w:smallCaps/>
                <w:color w:val="FFFFFF"/>
                <w:lang w:val="el-GR"/>
              </w:rPr>
            </w:pPr>
            <w:r w:rsidRPr="00EE418E">
              <w:rPr>
                <w:rFonts w:cs="Calibri"/>
                <w:b/>
                <w:bCs/>
                <w:iCs/>
                <w:smallCaps/>
                <w:color w:val="FFFFFF"/>
                <w:lang w:val="el-GR"/>
              </w:rPr>
              <w:t>Αναβάθμιση Ανθρώπινου Δυναμικού, Προώθηση της Απασχόλησης και Κοινωνική Συνοχή</w:t>
            </w:r>
          </w:p>
        </w:tc>
        <w:tc>
          <w:tcPr>
            <w:tcW w:w="2333" w:type="pct"/>
            <w:vMerge w:val="restart"/>
            <w:tcBorders>
              <w:top w:val="single" w:sz="8" w:space="0" w:color="FFFFFF"/>
              <w:left w:val="single" w:sz="8" w:space="0" w:color="FFFFFF"/>
              <w:right w:val="single" w:sz="8" w:space="0" w:color="FFFFFF"/>
            </w:tcBorders>
            <w:shd w:val="clear" w:color="auto" w:fill="FBCAA2"/>
          </w:tcPr>
          <w:p w14:paraId="7E7AC0A6" w14:textId="77777777" w:rsidR="00CF55AC" w:rsidRPr="00EE418E" w:rsidRDefault="00CF55AC" w:rsidP="00CF55AC">
            <w:pPr>
              <w:spacing w:after="0" w:line="240" w:lineRule="auto"/>
              <w:ind w:left="33"/>
              <w:jc w:val="both"/>
              <w:rPr>
                <w:rFonts w:cs="Calibri"/>
                <w:sz w:val="16"/>
                <w:szCs w:val="16"/>
                <w:lang w:val="el-GR"/>
              </w:rPr>
            </w:pPr>
            <w:r w:rsidRPr="00EE418E">
              <w:rPr>
                <w:rFonts w:cs="Calibri"/>
                <w:sz w:val="16"/>
                <w:szCs w:val="16"/>
                <w:lang w:val="el-GR"/>
              </w:rPr>
              <w:t xml:space="preserve">Επιδιώκεται </w:t>
            </w:r>
            <w:r w:rsidRPr="00EE418E">
              <w:rPr>
                <w:rFonts w:cs="Calibri"/>
                <w:b/>
                <w:sz w:val="16"/>
                <w:szCs w:val="16"/>
                <w:lang w:val="el-GR"/>
              </w:rPr>
              <w:t>άρση των συνεπειών της οικονομικής κρίσης/ύφεσης</w:t>
            </w:r>
            <w:r w:rsidRPr="00EE418E">
              <w:rPr>
                <w:rFonts w:cs="Calibri"/>
                <w:sz w:val="16"/>
                <w:szCs w:val="16"/>
                <w:lang w:val="el-GR"/>
              </w:rPr>
              <w:t xml:space="preserve"> και προωθούνται </w:t>
            </w:r>
            <w:r w:rsidRPr="00EE418E">
              <w:rPr>
                <w:rFonts w:cs="Calibri"/>
                <w:b/>
                <w:sz w:val="16"/>
                <w:szCs w:val="16"/>
                <w:lang w:val="el-GR"/>
              </w:rPr>
              <w:t>διαρθρωτικά μέτρα για την αγορά εργασίας</w:t>
            </w:r>
            <w:r w:rsidRPr="00EE418E">
              <w:rPr>
                <w:rFonts w:cs="Calibri"/>
                <w:sz w:val="16"/>
                <w:szCs w:val="16"/>
                <w:lang w:val="el-GR"/>
              </w:rPr>
              <w:t xml:space="preserve"> σε σχέση με:</w:t>
            </w:r>
          </w:p>
          <w:p w14:paraId="463D9C50" w14:textId="77777777" w:rsidR="00CF55AC" w:rsidRPr="00EE418E" w:rsidRDefault="00CF55AC" w:rsidP="00B52132">
            <w:pPr>
              <w:numPr>
                <w:ilvl w:val="1"/>
                <w:numId w:val="6"/>
              </w:numPr>
              <w:spacing w:before="120" w:after="0" w:line="240" w:lineRule="auto"/>
              <w:ind w:left="458"/>
              <w:jc w:val="both"/>
              <w:rPr>
                <w:rFonts w:cs="Calibri"/>
                <w:sz w:val="16"/>
                <w:szCs w:val="16"/>
                <w:lang w:val="el-GR"/>
              </w:rPr>
            </w:pPr>
            <w:r w:rsidRPr="00EE418E">
              <w:rPr>
                <w:rFonts w:cs="Calibri"/>
                <w:sz w:val="16"/>
                <w:szCs w:val="16"/>
                <w:lang w:val="el-GR"/>
              </w:rPr>
              <w:t>Απασχόληση και ανθρώπινο δυναμικό</w:t>
            </w:r>
          </w:p>
          <w:p w14:paraId="44A27437" w14:textId="77777777" w:rsidR="00CF55AC" w:rsidRPr="00EE418E" w:rsidRDefault="00CF55AC" w:rsidP="00B52132">
            <w:pPr>
              <w:numPr>
                <w:ilvl w:val="1"/>
                <w:numId w:val="6"/>
              </w:numPr>
              <w:spacing w:before="120" w:after="0" w:line="240" w:lineRule="auto"/>
              <w:ind w:left="458"/>
              <w:jc w:val="both"/>
              <w:rPr>
                <w:rFonts w:cs="Calibri"/>
                <w:sz w:val="16"/>
                <w:szCs w:val="16"/>
                <w:lang w:val="el-GR"/>
              </w:rPr>
            </w:pPr>
            <w:r w:rsidRPr="00EE418E">
              <w:rPr>
                <w:rFonts w:cs="Calibri"/>
                <w:sz w:val="16"/>
                <w:szCs w:val="16"/>
                <w:lang w:val="el-GR"/>
              </w:rPr>
              <w:t>Εκπαίδευση – δια βίου μάθηση</w:t>
            </w:r>
          </w:p>
          <w:p w14:paraId="7381CCAC" w14:textId="31B2C7C1" w:rsidR="00CF55AC" w:rsidRPr="00CF55AC" w:rsidRDefault="00CF55AC" w:rsidP="00B52132">
            <w:pPr>
              <w:numPr>
                <w:ilvl w:val="1"/>
                <w:numId w:val="6"/>
              </w:numPr>
              <w:spacing w:before="120" w:after="0" w:line="240" w:lineRule="auto"/>
              <w:ind w:left="458"/>
              <w:jc w:val="both"/>
              <w:rPr>
                <w:rFonts w:cs="Calibri"/>
                <w:sz w:val="16"/>
                <w:szCs w:val="16"/>
                <w:lang w:val="el-GR"/>
              </w:rPr>
            </w:pPr>
            <w:r w:rsidRPr="00EE418E">
              <w:rPr>
                <w:rFonts w:cs="Calibri"/>
                <w:sz w:val="16"/>
                <w:szCs w:val="16"/>
                <w:lang w:val="el-GR"/>
              </w:rPr>
              <w:t>Καταπολέμηση της φτώχειας και κοινωνική ενσωμάτωση</w:t>
            </w:r>
          </w:p>
        </w:tc>
        <w:tc>
          <w:tcPr>
            <w:tcW w:w="168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5595DA5E" w14:textId="59D4C18E" w:rsidR="00CF55AC" w:rsidRPr="00EE418E" w:rsidRDefault="00CF55AC" w:rsidP="00CF55AC">
            <w:pPr>
              <w:spacing w:after="0" w:line="240" w:lineRule="auto"/>
              <w:rPr>
                <w:b/>
                <w:i/>
                <w:sz w:val="16"/>
                <w:szCs w:val="16"/>
                <w:lang w:val="el-GR"/>
              </w:rPr>
            </w:pPr>
            <w:r w:rsidRPr="00EE418E">
              <w:rPr>
                <w:b/>
                <w:i/>
                <w:sz w:val="16"/>
                <w:szCs w:val="16"/>
                <w:lang w:val="el-GR"/>
              </w:rPr>
              <w:t xml:space="preserve">8. Προώθηση της βιώσιμης </w:t>
            </w:r>
            <w:r>
              <w:rPr>
                <w:b/>
                <w:i/>
                <w:sz w:val="16"/>
                <w:szCs w:val="16"/>
                <w:lang w:val="el-GR"/>
              </w:rPr>
              <w:t xml:space="preserve">και ποιοτικής </w:t>
            </w:r>
            <w:r w:rsidRPr="00EE418E">
              <w:rPr>
                <w:b/>
                <w:i/>
                <w:sz w:val="16"/>
                <w:szCs w:val="16"/>
                <w:lang w:val="el-GR"/>
              </w:rPr>
              <w:t>απασχόλησης και υποστήριξη της κινητικότητας των εργαζομένων</w:t>
            </w:r>
          </w:p>
        </w:tc>
      </w:tr>
      <w:tr w:rsidR="00CF55AC" w:rsidRPr="00F77DB3" w14:paraId="6770C2FA" w14:textId="77777777" w:rsidTr="00392E71">
        <w:trPr>
          <w:trHeight w:val="396"/>
        </w:trPr>
        <w:tc>
          <w:tcPr>
            <w:tcW w:w="979" w:type="pct"/>
            <w:vMerge/>
            <w:tcBorders>
              <w:left w:val="single" w:sz="8" w:space="0" w:color="FFFFFF"/>
              <w:right w:val="single" w:sz="24" w:space="0" w:color="FFFFFF"/>
            </w:tcBorders>
            <w:shd w:val="clear" w:color="auto" w:fill="F79646"/>
            <w:vAlign w:val="center"/>
          </w:tcPr>
          <w:p w14:paraId="71A78F32" w14:textId="77777777" w:rsidR="00CF55AC" w:rsidRPr="00EE418E" w:rsidRDefault="00CF55AC" w:rsidP="00CF55AC">
            <w:pPr>
              <w:autoSpaceDE w:val="0"/>
              <w:autoSpaceDN w:val="0"/>
              <w:adjustRightInd w:val="0"/>
              <w:spacing w:after="0" w:line="240" w:lineRule="auto"/>
              <w:rPr>
                <w:rFonts w:cs="Calibri"/>
                <w:b/>
                <w:bCs/>
                <w:iCs/>
                <w:color w:val="000000"/>
                <w:lang w:val="el-GR"/>
              </w:rPr>
            </w:pPr>
          </w:p>
        </w:tc>
        <w:tc>
          <w:tcPr>
            <w:tcW w:w="2333" w:type="pct"/>
            <w:vMerge/>
            <w:tcBorders>
              <w:left w:val="single" w:sz="8" w:space="0" w:color="FFFFFF"/>
              <w:right w:val="single" w:sz="8" w:space="0" w:color="FFFFFF"/>
            </w:tcBorders>
            <w:shd w:val="clear" w:color="auto" w:fill="FBCAA2"/>
          </w:tcPr>
          <w:p w14:paraId="442D62AE" w14:textId="77777777" w:rsidR="00CF55AC" w:rsidRPr="00EE418E" w:rsidRDefault="00CF55AC" w:rsidP="00CF55AC">
            <w:pPr>
              <w:spacing w:after="0" w:line="240" w:lineRule="auto"/>
              <w:rPr>
                <w:b/>
                <w:i/>
                <w:sz w:val="16"/>
                <w:szCs w:val="16"/>
                <w:lang w:val="el-GR"/>
              </w:rPr>
            </w:pPr>
          </w:p>
        </w:tc>
        <w:tc>
          <w:tcPr>
            <w:tcW w:w="168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1C2F8E3F" w14:textId="77777777" w:rsidR="00CF55AC" w:rsidRPr="00EE418E" w:rsidRDefault="00CF55AC" w:rsidP="00CF55AC">
            <w:pPr>
              <w:spacing w:after="0" w:line="240" w:lineRule="auto"/>
              <w:rPr>
                <w:b/>
                <w:i/>
                <w:sz w:val="16"/>
                <w:szCs w:val="16"/>
                <w:lang w:val="el-GR"/>
              </w:rPr>
            </w:pPr>
            <w:r w:rsidRPr="00EE418E">
              <w:rPr>
                <w:b/>
                <w:i/>
                <w:sz w:val="16"/>
                <w:szCs w:val="16"/>
                <w:lang w:val="el-GR"/>
              </w:rPr>
              <w:t>9. Προώθηση της κοινωνικής ένταξης και καταπολέμηση της φτώχειας και των διακρίσεων</w:t>
            </w:r>
          </w:p>
        </w:tc>
      </w:tr>
      <w:tr w:rsidR="00CF55AC" w:rsidRPr="00F77DB3" w14:paraId="1AB89F10" w14:textId="77777777" w:rsidTr="00392E71">
        <w:trPr>
          <w:trHeight w:val="586"/>
        </w:trPr>
        <w:tc>
          <w:tcPr>
            <w:tcW w:w="979" w:type="pct"/>
            <w:vMerge/>
            <w:tcBorders>
              <w:left w:val="single" w:sz="8" w:space="0" w:color="FFFFFF"/>
              <w:right w:val="single" w:sz="24" w:space="0" w:color="FFFFFF"/>
            </w:tcBorders>
            <w:shd w:val="clear" w:color="auto" w:fill="F79646"/>
            <w:vAlign w:val="center"/>
          </w:tcPr>
          <w:p w14:paraId="6BF4E495" w14:textId="77777777" w:rsidR="00CF55AC" w:rsidRPr="00EE418E" w:rsidRDefault="00CF55AC" w:rsidP="00CF55AC">
            <w:pPr>
              <w:autoSpaceDE w:val="0"/>
              <w:autoSpaceDN w:val="0"/>
              <w:adjustRightInd w:val="0"/>
              <w:spacing w:after="0" w:line="240" w:lineRule="auto"/>
              <w:rPr>
                <w:rFonts w:cs="Calibri"/>
                <w:b/>
                <w:bCs/>
                <w:iCs/>
                <w:color w:val="000000"/>
                <w:lang w:val="el-GR"/>
              </w:rPr>
            </w:pPr>
          </w:p>
        </w:tc>
        <w:tc>
          <w:tcPr>
            <w:tcW w:w="2333" w:type="pct"/>
            <w:vMerge/>
            <w:tcBorders>
              <w:left w:val="single" w:sz="8" w:space="0" w:color="FFFFFF"/>
              <w:right w:val="single" w:sz="8" w:space="0" w:color="FFFFFF"/>
            </w:tcBorders>
            <w:shd w:val="clear" w:color="auto" w:fill="FBCAA2"/>
          </w:tcPr>
          <w:p w14:paraId="2CF21A52" w14:textId="77777777" w:rsidR="00CF55AC" w:rsidRPr="00EE418E" w:rsidRDefault="00CF55AC" w:rsidP="00CF55AC">
            <w:pPr>
              <w:spacing w:after="0" w:line="240" w:lineRule="auto"/>
              <w:rPr>
                <w:b/>
                <w:i/>
                <w:sz w:val="16"/>
                <w:szCs w:val="16"/>
                <w:lang w:val="el-GR"/>
              </w:rPr>
            </w:pPr>
          </w:p>
        </w:tc>
        <w:tc>
          <w:tcPr>
            <w:tcW w:w="168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5EE88EBC" w14:textId="77777777" w:rsidR="00CF55AC" w:rsidRPr="00EE418E" w:rsidRDefault="00CF55AC" w:rsidP="00CF55AC">
            <w:pPr>
              <w:spacing w:after="0" w:line="240" w:lineRule="auto"/>
              <w:rPr>
                <w:b/>
                <w:i/>
                <w:sz w:val="16"/>
                <w:szCs w:val="16"/>
                <w:lang w:val="el-GR"/>
              </w:rPr>
            </w:pPr>
            <w:r w:rsidRPr="00EE418E">
              <w:rPr>
                <w:b/>
                <w:i/>
                <w:sz w:val="16"/>
                <w:szCs w:val="16"/>
                <w:lang w:val="el-GR"/>
              </w:rPr>
              <w:t>10. Επένδυση στην εκπαίδευση, την κατάρτιση και την επαγγελματική κατάρτιση για την απόκτηση δεξιοτήτων και τη δια βίου μάθηση</w:t>
            </w:r>
          </w:p>
        </w:tc>
      </w:tr>
      <w:tr w:rsidR="00CF55AC" w:rsidRPr="00F77DB3" w14:paraId="243E713E" w14:textId="77777777" w:rsidTr="00392E71">
        <w:trPr>
          <w:trHeight w:val="822"/>
        </w:trPr>
        <w:tc>
          <w:tcPr>
            <w:tcW w:w="979" w:type="pct"/>
            <w:vMerge w:val="restart"/>
            <w:tcBorders>
              <w:top w:val="single" w:sz="8" w:space="0" w:color="FFFFFF"/>
              <w:left w:val="single" w:sz="8" w:space="0" w:color="FFFFFF"/>
              <w:right w:val="single" w:sz="24" w:space="0" w:color="FFFFFF"/>
            </w:tcBorders>
            <w:shd w:val="clear" w:color="auto" w:fill="F79646"/>
            <w:vAlign w:val="center"/>
          </w:tcPr>
          <w:p w14:paraId="374C66E9" w14:textId="77777777" w:rsidR="00CF55AC" w:rsidRPr="00EE418E" w:rsidRDefault="00CF55AC" w:rsidP="001D583B">
            <w:pPr>
              <w:keepNext/>
              <w:numPr>
                <w:ilvl w:val="0"/>
                <w:numId w:val="5"/>
              </w:numPr>
              <w:tabs>
                <w:tab w:val="clear" w:pos="850"/>
                <w:tab w:val="num" w:pos="317"/>
              </w:tabs>
              <w:autoSpaceDE w:val="0"/>
              <w:autoSpaceDN w:val="0"/>
              <w:adjustRightInd w:val="0"/>
              <w:spacing w:after="0" w:line="240" w:lineRule="auto"/>
              <w:ind w:left="284" w:hanging="284"/>
              <w:outlineLvl w:val="0"/>
              <w:rPr>
                <w:rFonts w:ascii="Times New Roman" w:hAnsi="Times New Roman" w:cs="Calibri"/>
                <w:b/>
                <w:bCs/>
                <w:iCs/>
                <w:smallCaps/>
                <w:color w:val="FFFFFF"/>
                <w:lang w:val="el-GR"/>
              </w:rPr>
            </w:pPr>
            <w:r w:rsidRPr="00EE418E">
              <w:rPr>
                <w:rFonts w:cs="Calibri"/>
                <w:b/>
                <w:bCs/>
                <w:iCs/>
                <w:smallCaps/>
                <w:color w:val="FFFFFF"/>
                <w:lang w:val="el-GR"/>
              </w:rPr>
              <w:t>Προστασία και Αποδοτική Χρήση των Πόρων</w:t>
            </w:r>
          </w:p>
        </w:tc>
        <w:tc>
          <w:tcPr>
            <w:tcW w:w="2333" w:type="pct"/>
            <w:vMerge w:val="restart"/>
            <w:tcBorders>
              <w:top w:val="single" w:sz="8" w:space="0" w:color="FFFFFF"/>
              <w:left w:val="single" w:sz="8" w:space="0" w:color="FFFFFF"/>
              <w:right w:val="single" w:sz="8" w:space="0" w:color="FFFFFF"/>
            </w:tcBorders>
            <w:shd w:val="clear" w:color="auto" w:fill="FBCAA2"/>
          </w:tcPr>
          <w:p w14:paraId="0914BD6F" w14:textId="77777777" w:rsidR="00CF55AC" w:rsidRPr="00EE418E" w:rsidRDefault="00CF55AC" w:rsidP="00CF55AC">
            <w:pPr>
              <w:spacing w:after="0" w:line="240" w:lineRule="auto"/>
              <w:ind w:left="33"/>
              <w:jc w:val="both"/>
              <w:rPr>
                <w:rFonts w:cs="Calibri"/>
                <w:sz w:val="16"/>
                <w:szCs w:val="16"/>
                <w:lang w:val="el-GR"/>
              </w:rPr>
            </w:pPr>
            <w:r w:rsidRPr="00EE418E">
              <w:rPr>
                <w:rFonts w:cs="Calibri"/>
                <w:sz w:val="16"/>
                <w:szCs w:val="16"/>
                <w:lang w:val="el-GR"/>
              </w:rPr>
              <w:t xml:space="preserve">Επιδιώκεται η προώθηση παρεμβάσεων για την </w:t>
            </w:r>
            <w:r w:rsidRPr="00EE418E">
              <w:rPr>
                <w:rFonts w:cs="Calibri"/>
                <w:b/>
                <w:sz w:val="16"/>
                <w:szCs w:val="16"/>
                <w:lang w:val="el-GR"/>
              </w:rPr>
              <w:t>ορθολογική διαχείριση των φυσικών πόρων</w:t>
            </w:r>
            <w:r w:rsidRPr="00EE418E">
              <w:rPr>
                <w:rFonts w:cs="Calibri"/>
                <w:sz w:val="16"/>
                <w:szCs w:val="16"/>
                <w:lang w:val="el-GR"/>
              </w:rPr>
              <w:t xml:space="preserve">, την </w:t>
            </w:r>
            <w:r w:rsidRPr="00EE418E">
              <w:rPr>
                <w:rFonts w:cs="Calibri"/>
                <w:b/>
                <w:sz w:val="16"/>
                <w:szCs w:val="16"/>
                <w:lang w:val="el-GR"/>
              </w:rPr>
              <w:t>προσαρμογή στην κλιματική αλλαγή</w:t>
            </w:r>
            <w:r w:rsidRPr="00EE418E">
              <w:rPr>
                <w:rFonts w:cs="Calibri"/>
                <w:sz w:val="16"/>
                <w:szCs w:val="16"/>
                <w:lang w:val="el-GR"/>
              </w:rPr>
              <w:t xml:space="preserve"> και τη </w:t>
            </w:r>
            <w:r w:rsidRPr="00EE418E">
              <w:rPr>
                <w:rFonts w:cs="Calibri"/>
                <w:b/>
                <w:sz w:val="16"/>
                <w:szCs w:val="16"/>
                <w:lang w:val="el-GR"/>
              </w:rPr>
              <w:t>μετάβαση σε μία οικονομία χαμηλών εκπομπών άνθρακα</w:t>
            </w:r>
            <w:r w:rsidRPr="00EE418E">
              <w:rPr>
                <w:rFonts w:cs="Calibri"/>
                <w:sz w:val="16"/>
                <w:szCs w:val="16"/>
                <w:lang w:val="el-GR"/>
              </w:rPr>
              <w:t xml:space="preserve">. Παράλληλα, επιχειρείται η αξιοποίηση των δυνατοτήτων που παρέχει η </w:t>
            </w:r>
            <w:r w:rsidRPr="00EE418E">
              <w:rPr>
                <w:rFonts w:cs="Calibri"/>
                <w:b/>
                <w:sz w:val="16"/>
                <w:szCs w:val="16"/>
                <w:lang w:val="el-GR"/>
              </w:rPr>
              <w:t>πράσινη και η γαλάζια οικονομία</w:t>
            </w:r>
            <w:r w:rsidRPr="00EE418E">
              <w:rPr>
                <w:rFonts w:cs="Calibri"/>
                <w:sz w:val="16"/>
                <w:szCs w:val="16"/>
                <w:lang w:val="el-GR"/>
              </w:rPr>
              <w:t xml:space="preserve"> για την προώθηση ενός </w:t>
            </w:r>
            <w:r w:rsidRPr="00EE418E">
              <w:rPr>
                <w:rFonts w:cs="Calibri"/>
                <w:b/>
                <w:sz w:val="16"/>
                <w:szCs w:val="16"/>
                <w:lang w:val="el-GR"/>
              </w:rPr>
              <w:t>βιώσιμου αναπτυξιακού προτύπου</w:t>
            </w:r>
            <w:r>
              <w:rPr>
                <w:rFonts w:cs="Calibri"/>
                <w:b/>
                <w:sz w:val="16"/>
                <w:szCs w:val="16"/>
                <w:lang w:val="el-GR"/>
              </w:rPr>
              <w:t>,</w:t>
            </w:r>
            <w:r w:rsidRPr="00EE418E">
              <w:rPr>
                <w:rFonts w:cs="Calibri"/>
                <w:sz w:val="16"/>
                <w:szCs w:val="16"/>
                <w:lang w:val="el-GR"/>
              </w:rPr>
              <w:t xml:space="preserve"> που θα ενσωματώνει την περιβαλλοντική προστασία στην προσπάθεια αναθέρμανση</w:t>
            </w:r>
            <w:r>
              <w:rPr>
                <w:rFonts w:cs="Calibri"/>
                <w:sz w:val="16"/>
                <w:szCs w:val="16"/>
                <w:lang w:val="el-GR"/>
              </w:rPr>
              <w:t>ς</w:t>
            </w:r>
            <w:r w:rsidRPr="00EE418E">
              <w:rPr>
                <w:rFonts w:cs="Calibri"/>
                <w:sz w:val="16"/>
                <w:szCs w:val="16"/>
                <w:lang w:val="el-GR"/>
              </w:rPr>
              <w:t xml:space="preserve"> της οικονομίας</w:t>
            </w:r>
            <w:r>
              <w:rPr>
                <w:rFonts w:cs="Calibri"/>
                <w:sz w:val="16"/>
                <w:szCs w:val="16"/>
                <w:lang w:val="el-GR"/>
              </w:rPr>
              <w:t>,</w:t>
            </w:r>
            <w:r w:rsidRPr="00EE418E">
              <w:rPr>
                <w:rFonts w:cs="Calibri"/>
                <w:sz w:val="16"/>
                <w:szCs w:val="16"/>
                <w:lang w:val="el-GR"/>
              </w:rPr>
              <w:t xml:space="preserve"> εξυπηρετώντας τις εξής προτεραιότητες:</w:t>
            </w:r>
          </w:p>
          <w:p w14:paraId="7BB3F50E" w14:textId="77777777" w:rsidR="00CF55AC" w:rsidRPr="00EE418E" w:rsidRDefault="00CF55AC" w:rsidP="00B52132">
            <w:pPr>
              <w:numPr>
                <w:ilvl w:val="1"/>
                <w:numId w:val="6"/>
              </w:numPr>
              <w:spacing w:before="120" w:after="0" w:line="240" w:lineRule="auto"/>
              <w:ind w:left="458"/>
              <w:jc w:val="both"/>
              <w:rPr>
                <w:rFonts w:cs="Calibri"/>
                <w:sz w:val="16"/>
                <w:szCs w:val="16"/>
                <w:lang w:val="el-GR"/>
              </w:rPr>
            </w:pPr>
            <w:r w:rsidRPr="00EE418E">
              <w:rPr>
                <w:rFonts w:cs="Calibri"/>
                <w:sz w:val="16"/>
                <w:szCs w:val="16"/>
                <w:lang w:val="el-GR"/>
              </w:rPr>
              <w:t>Εμπλουτισμό του Ενεργειακού Ισοζυγίου της Χώρας και Προώθηση της Ενεργειακής Απόδοσης</w:t>
            </w:r>
          </w:p>
          <w:p w14:paraId="41CD20F5" w14:textId="77777777" w:rsidR="00CF55AC" w:rsidRPr="00EE418E" w:rsidRDefault="00CF55AC" w:rsidP="00B52132">
            <w:pPr>
              <w:numPr>
                <w:ilvl w:val="1"/>
                <w:numId w:val="6"/>
              </w:numPr>
              <w:spacing w:before="120" w:after="0" w:line="240" w:lineRule="auto"/>
              <w:ind w:left="458"/>
              <w:jc w:val="both"/>
              <w:rPr>
                <w:rFonts w:cs="Calibri"/>
                <w:sz w:val="16"/>
                <w:szCs w:val="16"/>
                <w:lang w:val="el-GR"/>
              </w:rPr>
            </w:pPr>
            <w:r w:rsidRPr="00EE418E">
              <w:rPr>
                <w:rFonts w:cs="Calibri"/>
                <w:sz w:val="16"/>
                <w:szCs w:val="16"/>
                <w:lang w:val="el-GR"/>
              </w:rPr>
              <w:t>Προσαρμογή στην Κλιματική αλλαγή</w:t>
            </w:r>
          </w:p>
          <w:p w14:paraId="75762F0B" w14:textId="77777777" w:rsidR="00CF55AC" w:rsidRPr="00EE418E" w:rsidRDefault="00CF55AC" w:rsidP="00B52132">
            <w:pPr>
              <w:numPr>
                <w:ilvl w:val="1"/>
                <w:numId w:val="6"/>
              </w:numPr>
              <w:spacing w:before="120" w:after="0" w:line="240" w:lineRule="auto"/>
              <w:ind w:left="458"/>
              <w:jc w:val="both"/>
              <w:rPr>
                <w:rFonts w:cs="Calibri"/>
                <w:b/>
                <w:i/>
                <w:sz w:val="16"/>
                <w:szCs w:val="16"/>
                <w:u w:val="single"/>
                <w:lang w:val="el-GR"/>
              </w:rPr>
            </w:pPr>
            <w:r w:rsidRPr="00EE418E">
              <w:rPr>
                <w:rFonts w:cs="Calibri"/>
                <w:sz w:val="16"/>
                <w:szCs w:val="16"/>
                <w:lang w:val="el-GR"/>
              </w:rPr>
              <w:t>Ορθολογική διαχείριση, προστασία και ανάδειξη των φυσικών και πολιτιστικών πόρων</w:t>
            </w:r>
          </w:p>
        </w:tc>
        <w:tc>
          <w:tcPr>
            <w:tcW w:w="168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51F7A33E" w14:textId="77777777" w:rsidR="00CF55AC" w:rsidRPr="00EE418E" w:rsidRDefault="00CF55AC" w:rsidP="00CF55AC">
            <w:pPr>
              <w:spacing w:after="0" w:line="240" w:lineRule="auto"/>
              <w:rPr>
                <w:b/>
                <w:i/>
                <w:sz w:val="16"/>
                <w:szCs w:val="16"/>
                <w:lang w:val="el-GR"/>
              </w:rPr>
            </w:pPr>
            <w:r w:rsidRPr="00EE418E">
              <w:rPr>
                <w:b/>
                <w:i/>
                <w:sz w:val="16"/>
                <w:szCs w:val="16"/>
                <w:lang w:val="el-GR"/>
              </w:rPr>
              <w:t>4. Υποστήριξη της Μετάβασης σε μία Οικονομία Χαμηλών Εκπομπών Διοξειδίου του Άνθρακα σε όλους τους τομείς</w:t>
            </w:r>
          </w:p>
        </w:tc>
      </w:tr>
      <w:tr w:rsidR="00CF55AC" w:rsidRPr="00F77DB3" w14:paraId="2F94F85F" w14:textId="77777777" w:rsidTr="00392E71">
        <w:trPr>
          <w:trHeight w:val="823"/>
        </w:trPr>
        <w:tc>
          <w:tcPr>
            <w:tcW w:w="979" w:type="pct"/>
            <w:vMerge/>
            <w:tcBorders>
              <w:left w:val="single" w:sz="8" w:space="0" w:color="FFFFFF"/>
              <w:right w:val="single" w:sz="24" w:space="0" w:color="FFFFFF"/>
            </w:tcBorders>
            <w:shd w:val="clear" w:color="auto" w:fill="F79646"/>
            <w:vAlign w:val="center"/>
          </w:tcPr>
          <w:p w14:paraId="0A8B2AB3" w14:textId="77777777" w:rsidR="00CF55AC" w:rsidRPr="00EE418E" w:rsidRDefault="00CF55AC" w:rsidP="00CF55AC">
            <w:pPr>
              <w:autoSpaceDE w:val="0"/>
              <w:autoSpaceDN w:val="0"/>
              <w:adjustRightInd w:val="0"/>
              <w:spacing w:after="0" w:line="240" w:lineRule="auto"/>
              <w:rPr>
                <w:rFonts w:cs="Calibri"/>
                <w:b/>
                <w:bCs/>
                <w:iCs/>
                <w:color w:val="000000"/>
                <w:lang w:val="el-GR"/>
              </w:rPr>
            </w:pPr>
          </w:p>
        </w:tc>
        <w:tc>
          <w:tcPr>
            <w:tcW w:w="2333" w:type="pct"/>
            <w:vMerge/>
            <w:tcBorders>
              <w:left w:val="single" w:sz="8" w:space="0" w:color="FFFFFF"/>
              <w:right w:val="single" w:sz="8" w:space="0" w:color="FFFFFF"/>
            </w:tcBorders>
            <w:shd w:val="clear" w:color="auto" w:fill="FBCAA2"/>
          </w:tcPr>
          <w:p w14:paraId="17F1B9F8" w14:textId="77777777" w:rsidR="00CF55AC" w:rsidRPr="00EE418E" w:rsidRDefault="00CF55AC" w:rsidP="00CF55AC">
            <w:pPr>
              <w:spacing w:after="0" w:line="240" w:lineRule="auto"/>
              <w:rPr>
                <w:b/>
                <w:i/>
                <w:sz w:val="16"/>
                <w:szCs w:val="16"/>
                <w:lang w:val="el-GR"/>
              </w:rPr>
            </w:pPr>
          </w:p>
        </w:tc>
        <w:tc>
          <w:tcPr>
            <w:tcW w:w="168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2F7827A0" w14:textId="77777777" w:rsidR="00CF55AC" w:rsidRPr="00EE418E" w:rsidRDefault="00CF55AC" w:rsidP="00CF55AC">
            <w:pPr>
              <w:spacing w:after="0" w:line="240" w:lineRule="auto"/>
              <w:rPr>
                <w:b/>
                <w:i/>
                <w:sz w:val="16"/>
                <w:szCs w:val="16"/>
                <w:lang w:val="el-GR"/>
              </w:rPr>
            </w:pPr>
            <w:r w:rsidRPr="00EE418E">
              <w:rPr>
                <w:b/>
                <w:i/>
                <w:sz w:val="16"/>
                <w:szCs w:val="16"/>
                <w:lang w:val="el-GR"/>
              </w:rPr>
              <w:t>5. Προώθηση της Προσαρμογής στην Κλιματική Αλλαγή και της Πρόληψης των Κινδύνων</w:t>
            </w:r>
          </w:p>
        </w:tc>
      </w:tr>
      <w:tr w:rsidR="00CF55AC" w:rsidRPr="00F77DB3" w14:paraId="26A3DA58" w14:textId="77777777" w:rsidTr="00392E71">
        <w:trPr>
          <w:trHeight w:val="823"/>
        </w:trPr>
        <w:tc>
          <w:tcPr>
            <w:tcW w:w="979" w:type="pct"/>
            <w:vMerge/>
            <w:tcBorders>
              <w:left w:val="single" w:sz="8" w:space="0" w:color="FFFFFF"/>
              <w:bottom w:val="single" w:sz="8" w:space="0" w:color="FFFFFF"/>
              <w:right w:val="single" w:sz="24" w:space="0" w:color="FFFFFF"/>
            </w:tcBorders>
            <w:shd w:val="clear" w:color="auto" w:fill="F79646"/>
            <w:vAlign w:val="center"/>
          </w:tcPr>
          <w:p w14:paraId="010926CA" w14:textId="77777777" w:rsidR="00CF55AC" w:rsidRPr="00EE418E" w:rsidRDefault="00CF55AC" w:rsidP="00CF55AC">
            <w:pPr>
              <w:autoSpaceDE w:val="0"/>
              <w:autoSpaceDN w:val="0"/>
              <w:adjustRightInd w:val="0"/>
              <w:spacing w:after="0" w:line="240" w:lineRule="auto"/>
              <w:rPr>
                <w:rFonts w:cs="Calibri"/>
                <w:b/>
                <w:bCs/>
                <w:iCs/>
                <w:color w:val="000000"/>
                <w:lang w:val="el-GR"/>
              </w:rPr>
            </w:pPr>
          </w:p>
        </w:tc>
        <w:tc>
          <w:tcPr>
            <w:tcW w:w="2333" w:type="pct"/>
            <w:vMerge/>
            <w:tcBorders>
              <w:left w:val="single" w:sz="8" w:space="0" w:color="FFFFFF"/>
              <w:bottom w:val="single" w:sz="8" w:space="0" w:color="FFFFFF"/>
              <w:right w:val="single" w:sz="8" w:space="0" w:color="FFFFFF"/>
            </w:tcBorders>
            <w:shd w:val="clear" w:color="auto" w:fill="FBCAA2"/>
          </w:tcPr>
          <w:p w14:paraId="5721B16E" w14:textId="77777777" w:rsidR="00CF55AC" w:rsidRPr="00EE418E" w:rsidRDefault="00CF55AC" w:rsidP="00CF55AC">
            <w:pPr>
              <w:spacing w:after="0" w:line="240" w:lineRule="auto"/>
              <w:rPr>
                <w:b/>
                <w:i/>
                <w:sz w:val="16"/>
                <w:szCs w:val="16"/>
                <w:lang w:val="el-GR"/>
              </w:rPr>
            </w:pPr>
          </w:p>
        </w:tc>
        <w:tc>
          <w:tcPr>
            <w:tcW w:w="168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2A09C95" w14:textId="77777777" w:rsidR="00CF55AC" w:rsidRPr="00EE418E" w:rsidRDefault="00CF55AC" w:rsidP="00CF55AC">
            <w:pPr>
              <w:spacing w:after="0" w:line="240" w:lineRule="auto"/>
              <w:rPr>
                <w:b/>
                <w:i/>
                <w:sz w:val="16"/>
                <w:szCs w:val="16"/>
                <w:lang w:val="el-GR"/>
              </w:rPr>
            </w:pPr>
            <w:r w:rsidRPr="00EE418E">
              <w:rPr>
                <w:b/>
                <w:i/>
                <w:sz w:val="16"/>
                <w:szCs w:val="16"/>
                <w:lang w:val="el-GR"/>
              </w:rPr>
              <w:t>6. Προστασία του Περιβάλλοντος και Προώθηση της Αποδοτικής Χρήσης των Πόρων</w:t>
            </w:r>
          </w:p>
        </w:tc>
      </w:tr>
    </w:tbl>
    <w:p w14:paraId="76FC301E" w14:textId="77777777" w:rsidR="00EE418E" w:rsidRPr="00EE418E" w:rsidRDefault="00EE418E" w:rsidP="00EE418E">
      <w:pPr>
        <w:jc w:val="both"/>
        <w:rPr>
          <w:rFonts w:cs="Calibri"/>
          <w:b/>
          <w:lang w:val="el-GR"/>
        </w:rPr>
      </w:pPr>
    </w:p>
    <w:p w14:paraId="43CEDA0C" w14:textId="77777777" w:rsidR="00866439" w:rsidRDefault="00866439" w:rsidP="00866439">
      <w:pPr>
        <w:jc w:val="right"/>
        <w:rPr>
          <w:rFonts w:cs="Calibri"/>
          <w:b/>
          <w:lang w:val="el-GR"/>
        </w:rPr>
      </w:pPr>
    </w:p>
    <w:p w14:paraId="718FCE9B" w14:textId="77777777" w:rsidR="00866439" w:rsidRDefault="00866439" w:rsidP="00866439">
      <w:pPr>
        <w:rPr>
          <w:rFonts w:cs="Calibri"/>
          <w:lang w:val="el-GR"/>
        </w:rPr>
      </w:pPr>
    </w:p>
    <w:p w14:paraId="34F5FEC1" w14:textId="77777777" w:rsidR="00EE418E" w:rsidRPr="00866439" w:rsidRDefault="00EE418E" w:rsidP="00866439">
      <w:pPr>
        <w:rPr>
          <w:rFonts w:cs="Calibri"/>
          <w:lang w:val="el-GR"/>
        </w:rPr>
        <w:sectPr w:rsidR="00EE418E" w:rsidRPr="00866439" w:rsidSect="00B52132">
          <w:pgSz w:w="15840" w:h="12240" w:orient="landscape" w:code="1"/>
          <w:pgMar w:top="1134" w:right="1418" w:bottom="1134" w:left="1418" w:header="454" w:footer="454" w:gutter="0"/>
          <w:cols w:space="708"/>
          <w:docGrid w:linePitch="360"/>
        </w:sectPr>
      </w:pPr>
    </w:p>
    <w:p w14:paraId="5C3B020F" w14:textId="215C36B2" w:rsidR="00746384" w:rsidRPr="00B51C99" w:rsidRDefault="00746384" w:rsidP="00746384">
      <w:pPr>
        <w:jc w:val="both"/>
        <w:rPr>
          <w:rFonts w:cs="Calibri"/>
          <w:lang w:val="el-GR"/>
        </w:rPr>
      </w:pPr>
      <w:bookmarkStart w:id="7" w:name="_Hlk489279565"/>
      <w:bookmarkStart w:id="8" w:name="_Hlk489527122"/>
      <w:r w:rsidRPr="00B51C99">
        <w:rPr>
          <w:rFonts w:cs="Calibri"/>
          <w:lang w:val="el-GR"/>
        </w:rPr>
        <w:lastRenderedPageBreak/>
        <w:t xml:space="preserve">Σύμφωνα με την Ευρωπαϊκή </w:t>
      </w:r>
      <w:r w:rsidRPr="00F76171">
        <w:rPr>
          <w:rFonts w:cs="Calibri"/>
          <w:lang w:val="el-GR"/>
        </w:rPr>
        <w:t>Επιτροπή</w:t>
      </w:r>
      <w:r w:rsidR="00F76171">
        <w:rPr>
          <w:rStyle w:val="FootnoteReference"/>
          <w:rFonts w:cs="Calibri"/>
          <w:lang w:val="el-GR"/>
        </w:rPr>
        <w:footnoteReference w:id="1"/>
      </w:r>
      <w:r w:rsidRPr="00F76171">
        <w:rPr>
          <w:rFonts w:cs="Calibri"/>
          <w:lang w:val="el-GR"/>
        </w:rPr>
        <w:t>, μετά</w:t>
      </w:r>
      <w:r w:rsidRPr="00B51C99">
        <w:rPr>
          <w:rFonts w:cs="Calibri"/>
          <w:lang w:val="el-GR"/>
        </w:rPr>
        <w:t xml:space="preserve"> από τρία έτη φιλόδοξων μεταρρυθμίσεων, που συνέβαλαν στην ανάκαμψη από την ύφεση, στην σταθεροποίηση του χρηματοπιστωτικού τομέα της και στην εξυγίανση των δημόσιων οικονομικών, παρατηρούνται σημάδια </w:t>
      </w:r>
      <w:r>
        <w:rPr>
          <w:rFonts w:cs="Calibri"/>
          <w:lang w:val="el-GR"/>
        </w:rPr>
        <w:t>επιβράδυνσης της μεταρρυθμιστικής δυναμικής</w:t>
      </w:r>
      <w:r w:rsidRPr="00B51C99">
        <w:rPr>
          <w:rFonts w:cs="Calibri"/>
          <w:lang w:val="el-GR"/>
        </w:rPr>
        <w:t xml:space="preserve">. Η Κύπρος συνεχίζει να αντιμετωπίζει σημαντικές προκλήσεις όσον αφορά στις αναπτυξιακές της </w:t>
      </w:r>
      <w:r>
        <w:rPr>
          <w:rFonts w:cs="Calibri"/>
          <w:lang w:val="el-GR"/>
        </w:rPr>
        <w:t>προοπτικές</w:t>
      </w:r>
      <w:r w:rsidRPr="00B51C99">
        <w:rPr>
          <w:rFonts w:cs="Calibri"/>
          <w:lang w:val="el-GR"/>
        </w:rPr>
        <w:t>, οι οποίες επηρεάζονται από τις μακροοικονομικές ανισορροπίες</w:t>
      </w:r>
      <w:r>
        <w:rPr>
          <w:rFonts w:cs="Calibri"/>
          <w:lang w:val="el-GR"/>
        </w:rPr>
        <w:t>,</w:t>
      </w:r>
      <w:r w:rsidRPr="00B51C99">
        <w:rPr>
          <w:rFonts w:cs="Calibri"/>
          <w:lang w:val="el-GR"/>
        </w:rPr>
        <w:t xml:space="preserve"> που συνεχίζουν να παρατηρούνται στην Κυπριακή οικονομία.</w:t>
      </w:r>
    </w:p>
    <w:p w14:paraId="5ECAF262" w14:textId="77777777" w:rsidR="00746384" w:rsidRPr="00EE418E" w:rsidRDefault="00746384" w:rsidP="00746384">
      <w:pPr>
        <w:jc w:val="both"/>
        <w:rPr>
          <w:rFonts w:cs="Calibri"/>
          <w:b/>
          <w:i/>
          <w:u w:val="single"/>
          <w:lang w:val="el-GR"/>
        </w:rPr>
      </w:pPr>
      <w:r w:rsidRPr="00EE418E">
        <w:rPr>
          <w:rFonts w:cs="Calibri"/>
          <w:b/>
          <w:i/>
          <w:lang w:val="el-GR"/>
        </w:rPr>
        <w:t xml:space="preserve">Ι) </w:t>
      </w:r>
      <w:r w:rsidRPr="00EE418E">
        <w:rPr>
          <w:rFonts w:cs="Calibri"/>
          <w:b/>
          <w:i/>
          <w:u w:val="single"/>
          <w:lang w:val="el-GR"/>
        </w:rPr>
        <w:t>Πορεία Μακροοικονομικών παραγόντων που επηρεάζουν τις προοπτικές ανάπτυξης της Κυπριακής Οικονομίας</w:t>
      </w:r>
    </w:p>
    <w:p w14:paraId="2AC179E3" w14:textId="77777777" w:rsidR="00746384" w:rsidRPr="00D11D8D" w:rsidRDefault="00746384" w:rsidP="001D583B">
      <w:pPr>
        <w:numPr>
          <w:ilvl w:val="0"/>
          <w:numId w:val="4"/>
        </w:numPr>
        <w:jc w:val="both"/>
        <w:rPr>
          <w:rFonts w:cs="Calibri"/>
          <w:b/>
          <w:i/>
          <w:u w:val="single"/>
          <w:lang w:val="el-GR"/>
        </w:rPr>
      </w:pPr>
      <w:r w:rsidRPr="00EE418E">
        <w:rPr>
          <w:rFonts w:cs="Calibri"/>
          <w:b/>
          <w:i/>
          <w:u w:val="single"/>
          <w:lang w:val="el-GR"/>
        </w:rPr>
        <w:t>Επίπεδο Οικονομικής Ανάκαμψης</w:t>
      </w:r>
      <w:r w:rsidRPr="00D11D8D">
        <w:rPr>
          <w:rFonts w:cs="Calibri"/>
          <w:b/>
          <w:i/>
          <w:u w:val="single"/>
          <w:lang w:val="el-GR"/>
        </w:rPr>
        <w:t>:</w:t>
      </w:r>
    </w:p>
    <w:p w14:paraId="1BE93032" w14:textId="383F3955" w:rsidR="00746384" w:rsidRPr="00EE418E" w:rsidRDefault="00746384" w:rsidP="00B52132">
      <w:pPr>
        <w:ind w:left="720"/>
        <w:jc w:val="both"/>
        <w:rPr>
          <w:rFonts w:cs="Calibri"/>
          <w:lang w:val="el-GR"/>
        </w:rPr>
      </w:pPr>
      <w:r w:rsidRPr="00EE418E">
        <w:rPr>
          <w:rFonts w:cs="Calibri"/>
          <w:lang w:val="el-GR"/>
        </w:rPr>
        <w:t xml:space="preserve">Η Κύπρος έχει επιστρέψει σε </w:t>
      </w:r>
      <w:r w:rsidRPr="00EE418E">
        <w:rPr>
          <w:rFonts w:cs="Calibri"/>
          <w:b/>
          <w:lang w:val="el-GR"/>
        </w:rPr>
        <w:t>θετικούς ρυθμούς ανάπτυξης</w:t>
      </w:r>
      <w:r>
        <w:rPr>
          <w:rFonts w:cs="Calibri"/>
          <w:b/>
          <w:lang w:val="el-GR"/>
        </w:rPr>
        <w:t>,</w:t>
      </w:r>
      <w:r w:rsidRPr="00EE418E">
        <w:rPr>
          <w:rFonts w:cs="Calibri"/>
          <w:lang w:val="el-GR"/>
        </w:rPr>
        <w:t xml:space="preserve"> με την </w:t>
      </w:r>
      <w:r>
        <w:rPr>
          <w:rFonts w:cs="Calibri"/>
          <w:lang w:val="el-GR"/>
        </w:rPr>
        <w:t>αύξηση του ΑΕΠ να φτάνει στο</w:t>
      </w:r>
      <w:r w:rsidRPr="00EE418E">
        <w:rPr>
          <w:rFonts w:cs="Calibri"/>
          <w:lang w:val="el-GR"/>
        </w:rPr>
        <w:t xml:space="preserve"> 2,8% το 2016 και 3,3% το Α’ τρίμηνο του 2017, </w:t>
      </w:r>
      <w:r>
        <w:rPr>
          <w:rFonts w:cs="Calibri"/>
          <w:lang w:val="el-GR"/>
        </w:rPr>
        <w:t xml:space="preserve">ενώ σύμφωνα με εκτιμήσεις της </w:t>
      </w:r>
      <w:r w:rsidR="00B9244D">
        <w:rPr>
          <w:rFonts w:cs="Calibri"/>
          <w:lang w:val="el-GR"/>
        </w:rPr>
        <w:t>Ευρωπαϊκής Επιτροπής</w:t>
      </w:r>
      <w:r w:rsidR="00B9244D">
        <w:rPr>
          <w:rStyle w:val="FootnoteReference"/>
          <w:rFonts w:cs="Calibri"/>
          <w:lang w:val="el-GR"/>
        </w:rPr>
        <w:footnoteReference w:id="2"/>
      </w:r>
      <w:r w:rsidR="00B9244D">
        <w:rPr>
          <w:rFonts w:cs="Calibri"/>
          <w:lang w:val="el-GR"/>
        </w:rPr>
        <w:t xml:space="preserve"> </w:t>
      </w:r>
      <w:r>
        <w:rPr>
          <w:rFonts w:cs="Calibri"/>
          <w:lang w:val="el-GR"/>
        </w:rPr>
        <w:t>η αύξηση θα περιοριστεί στο 2,5% το 2017 και 2,3% το 2018.</w:t>
      </w:r>
      <w:r w:rsidRPr="00EE418E">
        <w:rPr>
          <w:rFonts w:cs="Calibri"/>
          <w:lang w:val="el-GR"/>
        </w:rPr>
        <w:t xml:space="preserve"> Ο </w:t>
      </w:r>
      <w:r w:rsidRPr="00EE418E">
        <w:rPr>
          <w:rFonts w:cs="Calibri"/>
          <w:b/>
          <w:lang w:val="el-GR"/>
        </w:rPr>
        <w:t>τομέας του τουρισμού</w:t>
      </w:r>
      <w:r w:rsidRPr="00EE418E">
        <w:rPr>
          <w:rFonts w:cs="Calibri"/>
          <w:lang w:val="el-GR"/>
        </w:rPr>
        <w:t xml:space="preserve"> </w:t>
      </w:r>
      <w:r w:rsidRPr="00B51C99">
        <w:rPr>
          <w:rFonts w:cs="Calibri"/>
          <w:b/>
          <w:lang w:val="el-GR"/>
        </w:rPr>
        <w:t>και η ισχυρή εγχώρια ζήτηση</w:t>
      </w:r>
      <w:r w:rsidRPr="00EE418E">
        <w:rPr>
          <w:rFonts w:cs="Calibri"/>
          <w:lang w:val="el-GR"/>
        </w:rPr>
        <w:t xml:space="preserve">, </w:t>
      </w:r>
      <w:r>
        <w:rPr>
          <w:rFonts w:cs="Calibri"/>
          <w:lang w:val="el-GR"/>
        </w:rPr>
        <w:t>σε συνδυασμό με το</w:t>
      </w:r>
      <w:r w:rsidRPr="00EE418E">
        <w:rPr>
          <w:rFonts w:cs="Calibri"/>
          <w:lang w:val="el-GR"/>
        </w:rPr>
        <w:t xml:space="preserve"> χαμηλ</w:t>
      </w:r>
      <w:r>
        <w:rPr>
          <w:rFonts w:cs="Calibri"/>
          <w:lang w:val="el-GR"/>
        </w:rPr>
        <w:t>ό επίπεδο</w:t>
      </w:r>
      <w:r w:rsidRPr="00EE418E">
        <w:rPr>
          <w:rFonts w:cs="Calibri"/>
          <w:lang w:val="el-GR"/>
        </w:rPr>
        <w:t xml:space="preserve"> πληθωρισμού</w:t>
      </w:r>
      <w:r>
        <w:rPr>
          <w:rFonts w:cs="Calibri"/>
          <w:lang w:val="el-GR"/>
        </w:rPr>
        <w:t>,</w:t>
      </w:r>
      <w:r w:rsidRPr="00EE418E">
        <w:rPr>
          <w:rFonts w:cs="Calibri"/>
          <w:lang w:val="el-GR"/>
        </w:rPr>
        <w:t xml:space="preserve"> έδωσαν σημαντική ώθηση στην ανάπτυξη. </w:t>
      </w:r>
      <w:r w:rsidRPr="00B51C99">
        <w:rPr>
          <w:rFonts w:cs="Calibri"/>
          <w:lang w:val="el-GR"/>
        </w:rPr>
        <w:t xml:space="preserve">Ειδικότερα, ο τομέας του </w:t>
      </w:r>
      <w:r>
        <w:rPr>
          <w:rFonts w:cs="Calibri"/>
          <w:lang w:val="el-GR"/>
        </w:rPr>
        <w:t>τ</w:t>
      </w:r>
      <w:r w:rsidRPr="00B51C99">
        <w:rPr>
          <w:rFonts w:cs="Calibri"/>
          <w:lang w:val="el-GR"/>
        </w:rPr>
        <w:t>ουρισμού βρίσκεται σε περίοδο μεγάλης ανάπτυξης</w:t>
      </w:r>
      <w:r>
        <w:rPr>
          <w:rFonts w:cs="Calibri"/>
          <w:lang w:val="el-GR"/>
        </w:rPr>
        <w:t>,</w:t>
      </w:r>
      <w:r w:rsidRPr="00B51C99">
        <w:rPr>
          <w:rFonts w:cs="Calibri"/>
          <w:lang w:val="el-GR"/>
        </w:rPr>
        <w:t xml:space="preserve"> </w:t>
      </w:r>
      <w:r>
        <w:rPr>
          <w:rFonts w:cs="Calibri"/>
          <w:lang w:val="el-GR"/>
        </w:rPr>
        <w:t xml:space="preserve">με τον αριθμό των επισκεπτών να αυξάνεται </w:t>
      </w:r>
      <w:r w:rsidRPr="00E12961">
        <w:rPr>
          <w:rFonts w:cs="Calibri"/>
          <w:lang w:val="el-GR"/>
        </w:rPr>
        <w:t>κατά</w:t>
      </w:r>
      <w:r w:rsidR="00B9244D" w:rsidRPr="00E12961">
        <w:rPr>
          <w:rFonts w:cs="Calibri"/>
          <w:lang w:val="el-GR"/>
        </w:rPr>
        <w:t xml:space="preserve"> 19,8%</w:t>
      </w:r>
      <w:r w:rsidRPr="00E12961">
        <w:rPr>
          <w:rFonts w:cs="Calibri"/>
          <w:lang w:val="el-GR"/>
        </w:rPr>
        <w:t xml:space="preserve"> το 2016 και να φτάνει τα  </w:t>
      </w:r>
      <w:r w:rsidR="00B9244D" w:rsidRPr="00E12961">
        <w:rPr>
          <w:rFonts w:cs="Calibri"/>
          <w:lang w:val="el-GR"/>
        </w:rPr>
        <w:t xml:space="preserve">3,18 </w:t>
      </w:r>
      <w:r w:rsidRPr="00E12961">
        <w:rPr>
          <w:rFonts w:cs="Calibri"/>
          <w:lang w:val="el-GR"/>
        </w:rPr>
        <w:t>εκ. επισκέπτες</w:t>
      </w:r>
      <w:r w:rsidR="00B9244D" w:rsidRPr="00E12961">
        <w:rPr>
          <w:rStyle w:val="FootnoteReference"/>
          <w:rFonts w:cs="Calibri"/>
          <w:lang w:val="el-GR"/>
        </w:rPr>
        <w:footnoteReference w:id="3"/>
      </w:r>
      <w:r w:rsidRPr="00E12961">
        <w:rPr>
          <w:rFonts w:cs="Calibri"/>
          <w:lang w:val="el-GR"/>
        </w:rPr>
        <w:t>.</w:t>
      </w:r>
      <w:r>
        <w:rPr>
          <w:rFonts w:cs="Calibri"/>
          <w:lang w:val="el-GR"/>
        </w:rPr>
        <w:t xml:space="preserve"> Οι κυριότεροι λόγοι αυτής της ανάπτυξης περιλαμβάνουν</w:t>
      </w:r>
      <w:r w:rsidRPr="00EE418E">
        <w:rPr>
          <w:rFonts w:cs="Calibri"/>
          <w:lang w:val="el-GR"/>
        </w:rPr>
        <w:t xml:space="preserve"> </w:t>
      </w:r>
      <w:r>
        <w:rPr>
          <w:rFonts w:cs="Calibri"/>
          <w:lang w:val="el-GR"/>
        </w:rPr>
        <w:t>τ</w:t>
      </w:r>
      <w:r w:rsidRPr="00EE418E">
        <w:rPr>
          <w:rFonts w:cs="Calibri"/>
          <w:lang w:val="el-GR"/>
        </w:rPr>
        <w:t>η</w:t>
      </w:r>
      <w:r>
        <w:rPr>
          <w:rFonts w:cs="Calibri"/>
          <w:lang w:val="el-GR"/>
        </w:rPr>
        <w:t>ν</w:t>
      </w:r>
      <w:r w:rsidRPr="00EE418E">
        <w:rPr>
          <w:rFonts w:cs="Calibri"/>
          <w:lang w:val="el-GR"/>
        </w:rPr>
        <w:t xml:space="preserve"> υποτίμηση της πραγματικής σταθμισμένης συναλλαγματικής ισοτιμίας</w:t>
      </w:r>
      <w:r>
        <w:rPr>
          <w:rFonts w:cs="Calibri"/>
          <w:lang w:val="el-GR"/>
        </w:rPr>
        <w:t xml:space="preserve"> του Ευρώ σε σχέση με την στερλίνα και το δολάριο;</w:t>
      </w:r>
      <w:r w:rsidRPr="00EE418E">
        <w:rPr>
          <w:rFonts w:cs="Calibri"/>
          <w:lang w:val="el-GR"/>
        </w:rPr>
        <w:t xml:space="preserve">, </w:t>
      </w:r>
      <w:r>
        <w:rPr>
          <w:rFonts w:cs="Calibri"/>
          <w:lang w:val="el-GR"/>
        </w:rPr>
        <w:t>τις σχετικά χαμηλές τιμές των ταξιδιωτικών πακέτων σε σχέση με τις χώρες ανταγωνιστές</w:t>
      </w:r>
      <w:r w:rsidRPr="00EE418E">
        <w:rPr>
          <w:rFonts w:cs="Calibri"/>
          <w:lang w:val="el-GR"/>
        </w:rPr>
        <w:t xml:space="preserve">, </w:t>
      </w:r>
      <w:r>
        <w:rPr>
          <w:rFonts w:cs="Calibri"/>
          <w:lang w:val="el-GR"/>
        </w:rPr>
        <w:t>τ</w:t>
      </w:r>
      <w:r w:rsidRPr="00EE418E">
        <w:rPr>
          <w:rFonts w:cs="Calibri"/>
          <w:lang w:val="el-GR"/>
        </w:rPr>
        <w:t>η λήψη μέτρων για την παράταση της τουριστικής περιόδου και τη βελτίωση των αεροπορικών συνδέσεων</w:t>
      </w:r>
      <w:r>
        <w:rPr>
          <w:rFonts w:cs="Calibri"/>
          <w:lang w:val="el-GR"/>
        </w:rPr>
        <w:t>,</w:t>
      </w:r>
      <w:r w:rsidRPr="00EE418E">
        <w:rPr>
          <w:rFonts w:cs="Calibri"/>
          <w:lang w:val="el-GR"/>
        </w:rPr>
        <w:t xml:space="preserve"> καθώς και </w:t>
      </w:r>
      <w:r>
        <w:rPr>
          <w:rFonts w:cs="Calibri"/>
          <w:lang w:val="el-GR"/>
        </w:rPr>
        <w:t>τις</w:t>
      </w:r>
      <w:r w:rsidRPr="00EE418E">
        <w:rPr>
          <w:rFonts w:cs="Calibri"/>
          <w:lang w:val="el-GR"/>
        </w:rPr>
        <w:t xml:space="preserve"> γεωπολιτικές εντάσεις σε ανταγωνιστικούς προορισμούς</w:t>
      </w:r>
      <w:r>
        <w:rPr>
          <w:rFonts w:cs="Calibri"/>
          <w:lang w:val="el-GR"/>
        </w:rPr>
        <w:t xml:space="preserve"> στην περιοχή της Μεσογείου</w:t>
      </w:r>
      <w:r w:rsidRPr="00EE418E">
        <w:rPr>
          <w:rFonts w:cs="Calibri"/>
          <w:lang w:val="el-GR"/>
        </w:rPr>
        <w:t xml:space="preserve">. </w:t>
      </w:r>
      <w:r w:rsidRPr="00EE418E">
        <w:rPr>
          <w:rFonts w:cs="Calibri"/>
          <w:b/>
          <w:lang w:val="el-GR"/>
        </w:rPr>
        <w:t xml:space="preserve">Ωστόσο, </w:t>
      </w:r>
      <w:r>
        <w:rPr>
          <w:rFonts w:cs="Calibri"/>
          <w:b/>
          <w:lang w:val="el-GR"/>
        </w:rPr>
        <w:t>υπάρχουν σημαντικά περιθώρια βελτίωσης του τομέα μέσω διαρθρωτικών αλλαγών και επενδύσεων, που θα συμβάλουν στον εμπλουτισμό και τη διαφοροποίηση του τουριστικού προϊόντος, με απώτερο στόχο τη βιώσιμη ανάπτυξη του τομέα.</w:t>
      </w:r>
      <w:r w:rsidRPr="00EE418E">
        <w:rPr>
          <w:rFonts w:cs="Calibri"/>
          <w:lang w:val="el-GR"/>
        </w:rPr>
        <w:t xml:space="preserve"> </w:t>
      </w:r>
    </w:p>
    <w:p w14:paraId="5BEAB63E" w14:textId="77777777" w:rsidR="00746384" w:rsidRPr="00D11D8D" w:rsidRDefault="00746384" w:rsidP="001D583B">
      <w:pPr>
        <w:numPr>
          <w:ilvl w:val="0"/>
          <w:numId w:val="4"/>
        </w:numPr>
        <w:jc w:val="both"/>
        <w:rPr>
          <w:rFonts w:cs="Calibri"/>
          <w:b/>
          <w:i/>
          <w:u w:val="single"/>
          <w:lang w:val="el-GR"/>
        </w:rPr>
      </w:pPr>
      <w:r w:rsidRPr="00B51C99">
        <w:rPr>
          <w:rFonts w:cs="Calibri"/>
          <w:b/>
          <w:i/>
          <w:u w:val="single"/>
          <w:lang w:val="el-GR"/>
        </w:rPr>
        <w:t>Δημόσιο και Ιδιωτικό Χρέος – Εξωτερική Θέση της Χώρας</w:t>
      </w:r>
      <w:r w:rsidRPr="00D11D8D">
        <w:rPr>
          <w:rFonts w:cs="Calibri"/>
          <w:b/>
          <w:i/>
          <w:u w:val="single"/>
          <w:lang w:val="el-GR"/>
        </w:rPr>
        <w:t>:</w:t>
      </w:r>
    </w:p>
    <w:p w14:paraId="565E5EAF" w14:textId="342FC650" w:rsidR="00746384" w:rsidRDefault="00746384" w:rsidP="00746384">
      <w:pPr>
        <w:ind w:left="720"/>
        <w:jc w:val="both"/>
        <w:rPr>
          <w:rFonts w:cs="Calibri"/>
          <w:lang w:val="el-GR"/>
        </w:rPr>
      </w:pPr>
      <w:r w:rsidRPr="00EE418E">
        <w:rPr>
          <w:rFonts w:cs="Calibri"/>
          <w:lang w:val="el-GR"/>
        </w:rPr>
        <w:t xml:space="preserve">Η </w:t>
      </w:r>
      <w:r w:rsidRPr="00EE418E">
        <w:rPr>
          <w:rFonts w:cs="Calibri"/>
          <w:b/>
          <w:lang w:val="el-GR"/>
        </w:rPr>
        <w:t>δανειακή επιβάρυνση του ιδιωτικού τομέα έχει αρχίσει να μειώνεται συμβάλ</w:t>
      </w:r>
      <w:r w:rsidR="009C1976">
        <w:rPr>
          <w:rFonts w:cs="Calibri"/>
          <w:b/>
          <w:lang w:val="el-GR"/>
        </w:rPr>
        <w:t>λ</w:t>
      </w:r>
      <w:r w:rsidRPr="00EE418E">
        <w:rPr>
          <w:rFonts w:cs="Calibri"/>
          <w:b/>
          <w:lang w:val="el-GR"/>
        </w:rPr>
        <w:t>οντας στην απομόχλευση των τραπεζών</w:t>
      </w:r>
      <w:r w:rsidRPr="00EE418E">
        <w:rPr>
          <w:rFonts w:cs="Calibri"/>
          <w:lang w:val="el-GR"/>
        </w:rPr>
        <w:t xml:space="preserve"> (-11% στο συνολικό ύψος δανείων των Κυπριακών τραπεζών), αλλά συνεχίζει να βρίσκεται μεταξύ των υψηλότερων στην ΕΕ, φτάνοντας (ως χρέος χρηματοπιστωτικών εταιρειών και νοικοκυριών) </w:t>
      </w:r>
      <w:r>
        <w:rPr>
          <w:rFonts w:cs="Calibri"/>
          <w:lang w:val="el-GR"/>
        </w:rPr>
        <w:t>στο</w:t>
      </w:r>
      <w:r w:rsidRPr="00EE418E">
        <w:rPr>
          <w:rFonts w:cs="Calibri"/>
          <w:lang w:val="el-GR"/>
        </w:rPr>
        <w:t xml:space="preserve"> 280% του ΑΕΠ της χώρας, καθώς η αποπληρωμή χρεών είναι περιορισμένη. Έτσι, οι </w:t>
      </w:r>
      <w:r w:rsidRPr="00EE418E">
        <w:rPr>
          <w:rFonts w:cs="Calibri"/>
          <w:b/>
          <w:lang w:val="el-GR"/>
        </w:rPr>
        <w:t>δυνατότητες για μεγαλύτερη επέκταση της δανειοδότησης παραμένουν περιορισμένες</w:t>
      </w:r>
      <w:r w:rsidRPr="00EE418E">
        <w:rPr>
          <w:rFonts w:cs="Calibri"/>
          <w:lang w:val="el-GR"/>
        </w:rPr>
        <w:t xml:space="preserve">. Παράλληλα, </w:t>
      </w:r>
      <w:r w:rsidRPr="00EE418E">
        <w:rPr>
          <w:rFonts w:cs="Calibri"/>
          <w:b/>
          <w:lang w:val="el-GR"/>
        </w:rPr>
        <w:t>το δημόσιο χρέος</w:t>
      </w:r>
      <w:r w:rsidRPr="00EE418E">
        <w:rPr>
          <w:rFonts w:cs="Calibri"/>
          <w:lang w:val="el-GR"/>
        </w:rPr>
        <w:t xml:space="preserve">, αν και σε καθοδική πορεία, </w:t>
      </w:r>
      <w:r w:rsidRPr="00EE418E">
        <w:rPr>
          <w:rFonts w:cs="Calibri"/>
          <w:b/>
          <w:lang w:val="el-GR"/>
        </w:rPr>
        <w:t>είναι υψηλό</w:t>
      </w:r>
      <w:r w:rsidRPr="00EE418E">
        <w:rPr>
          <w:rFonts w:cs="Calibri"/>
          <w:lang w:val="el-GR"/>
        </w:rPr>
        <w:t xml:space="preserve"> (τέλη 2016: 109% του ΑΕΠ) και </w:t>
      </w:r>
      <w:r w:rsidRPr="00B51C99">
        <w:rPr>
          <w:rFonts w:cs="Calibri"/>
          <w:b/>
          <w:lang w:val="el-GR"/>
        </w:rPr>
        <w:t xml:space="preserve">η βιωσιμότητά του εξακολουθεί να </w:t>
      </w:r>
      <w:r>
        <w:rPr>
          <w:rFonts w:cs="Calibri"/>
          <w:b/>
          <w:lang w:val="el-GR"/>
        </w:rPr>
        <w:t>αποτελεί σημαντική πρόκληση</w:t>
      </w:r>
      <w:r w:rsidRPr="00EE418E">
        <w:rPr>
          <w:rFonts w:cs="Calibri"/>
          <w:lang w:val="el-GR"/>
        </w:rPr>
        <w:t xml:space="preserve">, </w:t>
      </w:r>
      <w:r w:rsidRPr="00B51C99">
        <w:rPr>
          <w:rFonts w:cs="Calibri"/>
          <w:lang w:val="el-GR"/>
        </w:rPr>
        <w:t xml:space="preserve">λόγω της υιοθέτησης σειράς φορολογικών μέτρων και της καθυστέρησης στην εφαρμογή βασικών διαρθρωτικών μεταρρυθμίσεων, </w:t>
      </w:r>
      <w:r w:rsidRPr="00EE418E">
        <w:rPr>
          <w:rFonts w:cs="Calibri"/>
          <w:lang w:val="el-GR"/>
        </w:rPr>
        <w:t>που</w:t>
      </w:r>
      <w:r w:rsidRPr="00EE418E">
        <w:rPr>
          <w:rFonts w:cs="Calibri"/>
          <w:b/>
          <w:lang w:val="el-GR"/>
        </w:rPr>
        <w:t xml:space="preserve"> </w:t>
      </w:r>
      <w:r w:rsidRPr="00B51C99">
        <w:rPr>
          <w:rFonts w:cs="Calibri"/>
          <w:lang w:val="el-GR"/>
        </w:rPr>
        <w:t xml:space="preserve">αναμένεται να επιδεινώσουν το ισοζύγιο τρεχουσών συναλλαγών και να </w:t>
      </w:r>
      <w:r>
        <w:rPr>
          <w:rFonts w:cs="Calibri"/>
          <w:lang w:val="el-GR"/>
        </w:rPr>
        <w:t>επηρεάσουν την αποτελεσματικότητα των</w:t>
      </w:r>
      <w:r w:rsidRPr="00B51C99">
        <w:rPr>
          <w:rFonts w:cs="Calibri"/>
          <w:lang w:val="el-GR"/>
        </w:rPr>
        <w:t xml:space="preserve"> δημόσιων επενδύσεων που ενισχύουν την ανάπτυξη.</w:t>
      </w:r>
      <w:r w:rsidRPr="00EE418E">
        <w:rPr>
          <w:rFonts w:cs="Calibri"/>
          <w:lang w:val="el-GR"/>
        </w:rPr>
        <w:t xml:space="preserve"> Οι ξένες καταθέσεις στον χρηματοπιστωτικό τομέα </w:t>
      </w:r>
      <w:r w:rsidRPr="00EE418E">
        <w:rPr>
          <w:rFonts w:cs="Calibri"/>
          <w:lang w:val="el-GR"/>
        </w:rPr>
        <w:lastRenderedPageBreak/>
        <w:t>παραμένουν υψηλές (110% του ΑΕΠ)</w:t>
      </w:r>
      <w:r>
        <w:rPr>
          <w:rFonts w:cs="Calibri"/>
          <w:lang w:val="el-GR"/>
        </w:rPr>
        <w:t>,</w:t>
      </w:r>
      <w:r w:rsidRPr="00EE418E">
        <w:rPr>
          <w:rFonts w:cs="Calibri"/>
          <w:lang w:val="el-GR"/>
        </w:rPr>
        <w:t xml:space="preserve"> </w:t>
      </w:r>
      <w:r w:rsidRPr="00EE418E">
        <w:rPr>
          <w:rFonts w:cs="Calibri"/>
          <w:b/>
          <w:lang w:val="el-GR"/>
        </w:rPr>
        <w:t xml:space="preserve">με αποτέλεσμα η Κύπρος να </w:t>
      </w:r>
      <w:r>
        <w:rPr>
          <w:rFonts w:cs="Calibri"/>
          <w:b/>
          <w:lang w:val="el-GR"/>
        </w:rPr>
        <w:t xml:space="preserve">παρουσιάζει </w:t>
      </w:r>
      <w:r w:rsidR="009C1976">
        <w:rPr>
          <w:rFonts w:cs="Calibri"/>
          <w:b/>
          <w:lang w:val="el-GR"/>
        </w:rPr>
        <w:t>υψηλό</w:t>
      </w:r>
      <w:r>
        <w:rPr>
          <w:rFonts w:cs="Calibri"/>
          <w:b/>
          <w:lang w:val="el-GR"/>
        </w:rPr>
        <w:t xml:space="preserve"> βαθμό ευαισθησίας</w:t>
      </w:r>
      <w:r w:rsidRPr="00EE418E">
        <w:rPr>
          <w:rFonts w:cs="Calibri"/>
          <w:b/>
          <w:lang w:val="el-GR"/>
        </w:rPr>
        <w:t xml:space="preserve"> στις μεταβολές της εμπιστοσύνης των καταθετών</w:t>
      </w:r>
      <w:r w:rsidRPr="00EE418E">
        <w:rPr>
          <w:rFonts w:cs="Calibri"/>
          <w:lang w:val="el-GR"/>
        </w:rPr>
        <w:t>.</w:t>
      </w:r>
    </w:p>
    <w:p w14:paraId="6530AB90" w14:textId="77777777" w:rsidR="00746384" w:rsidRPr="00EE418E" w:rsidRDefault="00746384" w:rsidP="00B52132">
      <w:pPr>
        <w:spacing w:after="0" w:line="240" w:lineRule="auto"/>
        <w:ind w:left="720"/>
        <w:jc w:val="both"/>
        <w:rPr>
          <w:rFonts w:cs="Calibri"/>
          <w:lang w:val="el-GR"/>
        </w:rPr>
      </w:pPr>
    </w:p>
    <w:p w14:paraId="17329C24" w14:textId="77777777" w:rsidR="00746384" w:rsidRPr="00EE418E" w:rsidRDefault="00746384" w:rsidP="00746384">
      <w:pPr>
        <w:jc w:val="both"/>
        <w:rPr>
          <w:rFonts w:cs="Calibri"/>
          <w:b/>
          <w:i/>
          <w:lang w:val="el-GR"/>
        </w:rPr>
      </w:pPr>
      <w:r w:rsidRPr="00EE418E">
        <w:rPr>
          <w:rFonts w:cs="Calibri"/>
          <w:b/>
          <w:i/>
          <w:lang w:val="el-GR"/>
        </w:rPr>
        <w:t xml:space="preserve">ΙΙ) </w:t>
      </w:r>
      <w:r w:rsidRPr="00EE418E">
        <w:rPr>
          <w:rFonts w:cs="Calibri"/>
          <w:b/>
          <w:i/>
          <w:u w:val="single"/>
          <w:lang w:val="el-GR"/>
        </w:rPr>
        <w:t>Αξιολόγηση αλλαγών στις αναπτυξιακές ανάγκες της Κυπριακής Οικονομίας</w:t>
      </w:r>
    </w:p>
    <w:p w14:paraId="0B9CC8FA" w14:textId="77777777" w:rsidR="00746384" w:rsidRPr="00EE418E" w:rsidRDefault="00746384" w:rsidP="001D583B">
      <w:pPr>
        <w:numPr>
          <w:ilvl w:val="0"/>
          <w:numId w:val="37"/>
        </w:numPr>
        <w:jc w:val="both"/>
        <w:rPr>
          <w:rFonts w:cs="Calibri"/>
          <w:b/>
          <w:i/>
          <w:u w:val="single"/>
          <w:lang w:val="el-GR"/>
        </w:rPr>
      </w:pPr>
      <w:r w:rsidRPr="00EE418E">
        <w:rPr>
          <w:rFonts w:cs="Calibri"/>
          <w:b/>
          <w:i/>
          <w:u w:val="single"/>
          <w:lang w:val="el-GR"/>
        </w:rPr>
        <w:t>Υποστήριξη της αναδιάρθρωσης της Κυπριακής Οικονομίας και Ενίσχυση της Ανταγωνιστικότητάς της</w:t>
      </w:r>
    </w:p>
    <w:p w14:paraId="18D6E5A1" w14:textId="5AFA0596" w:rsidR="00746384" w:rsidRPr="00EE418E" w:rsidRDefault="00746384" w:rsidP="00746384">
      <w:pPr>
        <w:ind w:left="709"/>
        <w:jc w:val="both"/>
        <w:rPr>
          <w:rFonts w:cs="Calibri"/>
          <w:lang w:val="el-GR"/>
        </w:rPr>
      </w:pPr>
      <w:r w:rsidRPr="00B51C99">
        <w:rPr>
          <w:rFonts w:cs="Calibri"/>
          <w:lang w:val="el-GR"/>
        </w:rPr>
        <w:t xml:space="preserve">Η βελτίωση του επιχειρηματικού κλίματος και η ανάκαμψη της Κυπριακής οικονομίας </w:t>
      </w:r>
      <w:r>
        <w:rPr>
          <w:rFonts w:cs="Calibri"/>
          <w:lang w:val="el-GR"/>
        </w:rPr>
        <w:t>επηρεάζεται</w:t>
      </w:r>
      <w:r w:rsidRPr="00EE418E">
        <w:rPr>
          <w:rFonts w:cs="Calibri"/>
          <w:lang w:val="el-GR"/>
        </w:rPr>
        <w:t xml:space="preserve"> από μία σειρά παραγόντων όπως η </w:t>
      </w:r>
      <w:r w:rsidRPr="00EE418E">
        <w:rPr>
          <w:rFonts w:cs="Calibri"/>
          <w:b/>
          <w:lang w:val="el-GR"/>
        </w:rPr>
        <w:t xml:space="preserve">προσέλκυση άμεσων ξένων επενδύσεων, </w:t>
      </w:r>
      <w:r w:rsidRPr="00EE418E">
        <w:rPr>
          <w:rFonts w:cs="Calibri"/>
          <w:lang w:val="el-GR"/>
        </w:rPr>
        <w:t>η</w:t>
      </w:r>
      <w:r w:rsidRPr="00EE418E">
        <w:rPr>
          <w:rFonts w:cs="Calibri"/>
          <w:b/>
          <w:lang w:val="el-GR"/>
        </w:rPr>
        <w:t xml:space="preserve"> ενίσχυση της επιχειρηματικότητας και της ανταγωνιστικότητας  των </w:t>
      </w:r>
      <w:r>
        <w:rPr>
          <w:rFonts w:cs="Calibri"/>
          <w:b/>
          <w:lang w:val="el-GR"/>
        </w:rPr>
        <w:t>ΜΜΕ</w:t>
      </w:r>
      <w:r w:rsidRPr="00EE418E">
        <w:rPr>
          <w:rFonts w:cs="Calibri"/>
          <w:b/>
          <w:lang w:val="el-GR"/>
        </w:rPr>
        <w:t xml:space="preserve">, </w:t>
      </w:r>
      <w:r w:rsidRPr="00EE418E">
        <w:rPr>
          <w:rFonts w:cs="Calibri"/>
          <w:lang w:val="el-GR"/>
        </w:rPr>
        <w:t>η</w:t>
      </w:r>
      <w:r w:rsidRPr="00EE418E">
        <w:rPr>
          <w:rFonts w:cs="Calibri"/>
          <w:b/>
          <w:lang w:val="el-GR"/>
        </w:rPr>
        <w:t xml:space="preserve"> βελτίωση του κανονιστικού και ρυθμιστικού πλαισίου, </w:t>
      </w:r>
      <w:r w:rsidRPr="00EE418E">
        <w:rPr>
          <w:rFonts w:cs="Calibri"/>
          <w:lang w:val="el-GR"/>
        </w:rPr>
        <w:t xml:space="preserve">η </w:t>
      </w:r>
      <w:r w:rsidRPr="00EE418E">
        <w:rPr>
          <w:rFonts w:cs="Calibri"/>
          <w:b/>
          <w:lang w:val="el-GR"/>
        </w:rPr>
        <w:t xml:space="preserve">βελτίωση της πρόσβασης σε χρηματοδότηση </w:t>
      </w:r>
      <w:r>
        <w:rPr>
          <w:rFonts w:cs="Calibri"/>
          <w:b/>
          <w:lang w:val="el-GR"/>
        </w:rPr>
        <w:t xml:space="preserve">και </w:t>
      </w:r>
      <w:r w:rsidRPr="00EE418E">
        <w:rPr>
          <w:rFonts w:cs="Calibri"/>
          <w:lang w:val="el-GR"/>
        </w:rPr>
        <w:t>η</w:t>
      </w:r>
      <w:r w:rsidRPr="00EE418E">
        <w:rPr>
          <w:rFonts w:cs="Calibri"/>
          <w:b/>
          <w:lang w:val="el-GR"/>
        </w:rPr>
        <w:t xml:space="preserve"> μεταρρύθμιση τομέων οριζόντιου χαρακτήρα</w:t>
      </w:r>
      <w:r>
        <w:rPr>
          <w:rFonts w:cs="Calibri"/>
          <w:b/>
          <w:lang w:val="el-GR"/>
        </w:rPr>
        <w:t>,</w:t>
      </w:r>
      <w:r w:rsidRPr="00EE418E">
        <w:rPr>
          <w:rFonts w:cs="Calibri"/>
          <w:b/>
          <w:lang w:val="el-GR"/>
        </w:rPr>
        <w:t xml:space="preserve"> όπως οι ΤΠΕ, ο Δημόσιος Τομέας και τα δίκτυα/υποδομές μεταφορών</w:t>
      </w:r>
      <w:r w:rsidRPr="00EE418E">
        <w:rPr>
          <w:rFonts w:cs="Calibri"/>
          <w:lang w:val="el-GR"/>
        </w:rPr>
        <w:t>.</w:t>
      </w:r>
    </w:p>
    <w:p w14:paraId="07341DEB" w14:textId="259A0B3A" w:rsidR="00746384" w:rsidRPr="00EE418E" w:rsidRDefault="00746384" w:rsidP="00746384">
      <w:pPr>
        <w:ind w:left="709"/>
        <w:jc w:val="both"/>
        <w:rPr>
          <w:rFonts w:cs="Calibri"/>
          <w:lang w:val="el-GR"/>
        </w:rPr>
      </w:pPr>
      <w:r w:rsidRPr="00EE418E">
        <w:rPr>
          <w:rFonts w:cs="Calibri"/>
          <w:lang w:val="el-GR"/>
        </w:rPr>
        <w:t xml:space="preserve">Ως προς τις επενδύσεις, παρά τη </w:t>
      </w:r>
      <w:r w:rsidRPr="00EE418E">
        <w:rPr>
          <w:rFonts w:cs="Calibri"/>
          <w:b/>
          <w:lang w:val="el-GR"/>
        </w:rPr>
        <w:t>συγκρατημένη αύξησή τους</w:t>
      </w:r>
      <w:r w:rsidRPr="00EE418E">
        <w:rPr>
          <w:rFonts w:cs="Calibri"/>
          <w:lang w:val="el-GR"/>
        </w:rPr>
        <w:t xml:space="preserve"> </w:t>
      </w:r>
      <w:r w:rsidRPr="00EE418E">
        <w:rPr>
          <w:rFonts w:cs="Calibri"/>
          <w:b/>
          <w:lang w:val="el-GR"/>
        </w:rPr>
        <w:t>το 2015</w:t>
      </w:r>
      <w:r w:rsidRPr="00EE418E">
        <w:rPr>
          <w:rFonts w:cs="Calibri"/>
          <w:lang w:val="el-GR"/>
        </w:rPr>
        <w:t>,</w:t>
      </w:r>
      <w:r w:rsidRPr="00EE418E">
        <w:rPr>
          <w:rFonts w:cs="Calibri"/>
          <w:b/>
          <w:lang w:val="el-GR"/>
        </w:rPr>
        <w:t xml:space="preserve"> ήταν μειωμένες σχεδόν κατά 15%</w:t>
      </w:r>
      <w:r w:rsidRPr="00EE418E">
        <w:rPr>
          <w:rFonts w:cs="Calibri"/>
          <w:lang w:val="el-GR"/>
        </w:rPr>
        <w:t xml:space="preserve"> σε σχέση με το 2008. Γενικά, το </w:t>
      </w:r>
      <w:r w:rsidRPr="00EE418E">
        <w:rPr>
          <w:rFonts w:cs="Calibri"/>
          <w:b/>
          <w:lang w:val="el-GR"/>
        </w:rPr>
        <w:t xml:space="preserve">χαμηλό επίπεδο ιδιωτικών και δημόσιων επενδύσεων, ιδίως στον τομέα της έρευνας και ανάπτυξης </w:t>
      </w:r>
      <w:r w:rsidRPr="00EE418E">
        <w:rPr>
          <w:rFonts w:cs="Calibri"/>
          <w:lang w:val="el-GR"/>
        </w:rPr>
        <w:t>(2015: 0,4% του ΑΕΠ</w:t>
      </w:r>
      <w:r>
        <w:rPr>
          <w:rFonts w:cs="Calibri"/>
          <w:lang w:val="el-GR"/>
        </w:rPr>
        <w:t>,</w:t>
      </w:r>
      <w:r w:rsidRPr="00EE418E">
        <w:rPr>
          <w:rFonts w:cs="Calibri"/>
          <w:lang w:val="el-GR"/>
        </w:rPr>
        <w:t xml:space="preserve"> από τις χαμηλότερες στην ΕΕ),</w:t>
      </w:r>
      <w:r w:rsidRPr="00EE418E">
        <w:rPr>
          <w:rFonts w:cs="Calibri"/>
          <w:b/>
          <w:lang w:val="el-GR"/>
        </w:rPr>
        <w:t xml:space="preserve"> παρεμποδίζουν την ικανότητα της Κύπρου να διαφοροποιήσει </w:t>
      </w:r>
      <w:r>
        <w:rPr>
          <w:rFonts w:cs="Calibri"/>
          <w:b/>
          <w:lang w:val="el-GR"/>
        </w:rPr>
        <w:t>το οικονομικό της μοντέλο</w:t>
      </w:r>
      <w:r w:rsidRPr="00EE418E">
        <w:rPr>
          <w:rFonts w:cs="Calibri"/>
          <w:b/>
          <w:lang w:val="el-GR"/>
        </w:rPr>
        <w:t xml:space="preserve"> και </w:t>
      </w:r>
      <w:r>
        <w:rPr>
          <w:rFonts w:cs="Calibri"/>
          <w:b/>
          <w:lang w:val="el-GR"/>
        </w:rPr>
        <w:t>επηρεάζουν αρνητικά την παραγωγικότητα της χώρας</w:t>
      </w:r>
      <w:r w:rsidRPr="00EE418E">
        <w:rPr>
          <w:rFonts w:cs="Calibri"/>
          <w:lang w:val="el-GR"/>
        </w:rPr>
        <w:t xml:space="preserve">. Ταυτόχρονα, </w:t>
      </w:r>
      <w:r w:rsidR="007F4A8D">
        <w:rPr>
          <w:rFonts w:cs="Calibri"/>
          <w:lang w:val="el-GR"/>
        </w:rPr>
        <w:t xml:space="preserve">σύμφωνα με την Έκθεση της Ευρωπαϊκής Επιτροπής για την Κύπρο (Ευρωπαϊκό Εξάμηνο 2017), </w:t>
      </w:r>
      <w:r w:rsidRPr="00EE418E">
        <w:rPr>
          <w:rFonts w:cs="Calibri"/>
          <w:lang w:val="el-GR"/>
        </w:rPr>
        <w:t xml:space="preserve">η </w:t>
      </w:r>
      <w:r w:rsidRPr="00EE418E">
        <w:rPr>
          <w:rFonts w:cs="Calibri"/>
          <w:b/>
          <w:lang w:val="el-GR"/>
        </w:rPr>
        <w:t>μείωση των δημοσίων επενδύσεων</w:t>
      </w:r>
      <w:r w:rsidRPr="00EE418E">
        <w:rPr>
          <w:rFonts w:cs="Calibri"/>
          <w:lang w:val="el-GR"/>
        </w:rPr>
        <w:t xml:space="preserve"> </w:t>
      </w:r>
      <w:r w:rsidRPr="00EE418E">
        <w:rPr>
          <w:rFonts w:cs="Calibri"/>
          <w:b/>
          <w:lang w:val="el-GR"/>
        </w:rPr>
        <w:t xml:space="preserve">έχει περιορίσει την βιωσιμότητα της παροχής βασικών δημόσιων </w:t>
      </w:r>
      <w:r w:rsidRPr="00B52132">
        <w:rPr>
          <w:rFonts w:cs="Calibri"/>
          <w:b/>
          <w:lang w:val="el-GR"/>
        </w:rPr>
        <w:t xml:space="preserve">υπηρεσιών, </w:t>
      </w:r>
      <w:r w:rsidRPr="00B52132">
        <w:rPr>
          <w:rFonts w:cs="Calibri"/>
          <w:lang w:val="el-GR"/>
        </w:rPr>
        <w:t>όπως η</w:t>
      </w:r>
      <w:r w:rsidRPr="00EE418E">
        <w:rPr>
          <w:rFonts w:cs="Calibri"/>
          <w:lang w:val="el-GR"/>
        </w:rPr>
        <w:t xml:space="preserve"> διαχείριση των αποβλήτων</w:t>
      </w:r>
      <w:r w:rsidR="007F4A8D">
        <w:rPr>
          <w:rFonts w:cs="Calibri"/>
          <w:lang w:val="el-GR"/>
        </w:rPr>
        <w:t>,</w:t>
      </w:r>
      <w:r w:rsidRPr="00EE418E">
        <w:rPr>
          <w:rFonts w:cs="Calibri"/>
          <w:lang w:val="el-GR"/>
        </w:rPr>
        <w:t xml:space="preserve"> του ύδατος και οι δημόσιες </w:t>
      </w:r>
      <w:r w:rsidR="007F4A8D">
        <w:rPr>
          <w:rFonts w:cs="Calibri"/>
          <w:lang w:val="el-GR"/>
        </w:rPr>
        <w:t>συγκοινωνίες</w:t>
      </w:r>
      <w:r w:rsidRPr="00EE418E">
        <w:rPr>
          <w:rFonts w:cs="Calibri"/>
          <w:lang w:val="el-GR"/>
        </w:rPr>
        <w:t xml:space="preserve">. </w:t>
      </w:r>
    </w:p>
    <w:p w14:paraId="756C7E55" w14:textId="77777777" w:rsidR="00746384" w:rsidRPr="00EE418E" w:rsidRDefault="00746384" w:rsidP="00746384">
      <w:pPr>
        <w:ind w:left="709"/>
        <w:jc w:val="both"/>
        <w:rPr>
          <w:rFonts w:cs="Calibri"/>
          <w:b/>
          <w:lang w:val="el-GR"/>
        </w:rPr>
      </w:pPr>
      <w:r w:rsidRPr="00EE418E">
        <w:rPr>
          <w:rFonts w:cs="Calibri"/>
          <w:lang w:val="el-GR"/>
        </w:rPr>
        <w:t xml:space="preserve">Η </w:t>
      </w:r>
      <w:r w:rsidRPr="00EE418E">
        <w:rPr>
          <w:rFonts w:cs="Calibri"/>
          <w:b/>
          <w:lang w:val="el-GR"/>
        </w:rPr>
        <w:t>ασθενής</w:t>
      </w:r>
      <w:r w:rsidRPr="00EE418E">
        <w:rPr>
          <w:rFonts w:cs="Calibri"/>
          <w:lang w:val="el-GR"/>
        </w:rPr>
        <w:t xml:space="preserve"> </w:t>
      </w:r>
      <w:r w:rsidRPr="00EE418E">
        <w:rPr>
          <w:rFonts w:cs="Calibri"/>
          <w:b/>
          <w:lang w:val="el-GR"/>
        </w:rPr>
        <w:t>αύξηση της παραγωγικότητας</w:t>
      </w:r>
      <w:r w:rsidRPr="00EE418E">
        <w:rPr>
          <w:rFonts w:cs="Calibri"/>
          <w:lang w:val="el-GR"/>
        </w:rPr>
        <w:t xml:space="preserve">, (εκτιμάται σε 0,2% περίπου κατά τα πρώτα τρία τρίμηνα του 2016), σε συνδυασμό με την αύξηση της αμοιβής ανά εργαζόμενο, αναμένεται να οδηγήσει σε αύξηση του κόστους εργασίας ανά μονάδα προϊόντος, μετά από τέσσερα χρόνια αρνητικής διόρθωσης και </w:t>
      </w:r>
      <w:r w:rsidRPr="00EE418E">
        <w:rPr>
          <w:rFonts w:cs="Calibri"/>
          <w:b/>
          <w:lang w:val="el-GR"/>
        </w:rPr>
        <w:t>να ασκήσει αρνητικές πιέσεις στις προοπτικές ανάπτυξης της οικονομίας</w:t>
      </w:r>
      <w:r w:rsidRPr="00EE418E">
        <w:rPr>
          <w:rFonts w:cs="Calibri"/>
          <w:lang w:val="el-GR"/>
        </w:rPr>
        <w:t xml:space="preserve">. Σε όλους σχεδόν τους </w:t>
      </w:r>
      <w:r w:rsidRPr="00EE418E">
        <w:rPr>
          <w:rFonts w:cs="Calibri"/>
          <w:b/>
          <w:lang w:val="el-GR"/>
        </w:rPr>
        <w:t>μεταποιητικούς τομείς</w:t>
      </w:r>
      <w:r w:rsidRPr="00EE418E">
        <w:rPr>
          <w:rFonts w:cs="Calibri"/>
          <w:lang w:val="el-GR"/>
        </w:rPr>
        <w:t xml:space="preserve"> </w:t>
      </w:r>
      <w:r w:rsidRPr="00EE418E">
        <w:rPr>
          <w:rFonts w:cs="Calibri"/>
          <w:b/>
          <w:lang w:val="el-GR"/>
        </w:rPr>
        <w:t>η Κύπρος συγκαταλέγεται μεταξύ των κρατών μελών της ΕΕ με τα χαμηλότερα ποσοστά αύξησης της παραγωγικότητας.</w:t>
      </w:r>
    </w:p>
    <w:p w14:paraId="5E378B66" w14:textId="00B0FB92" w:rsidR="00746384" w:rsidRPr="00EE418E" w:rsidRDefault="00746384" w:rsidP="00746384">
      <w:pPr>
        <w:ind w:left="709"/>
        <w:jc w:val="both"/>
        <w:rPr>
          <w:rFonts w:cs="Calibri"/>
          <w:lang w:val="el-GR"/>
        </w:rPr>
      </w:pPr>
      <w:r w:rsidRPr="00EE418E">
        <w:rPr>
          <w:rFonts w:cs="Calibri"/>
          <w:lang w:val="el-GR"/>
        </w:rPr>
        <w:t xml:space="preserve">Οι </w:t>
      </w:r>
      <w:r w:rsidRPr="00EE418E">
        <w:rPr>
          <w:rFonts w:cs="Calibri"/>
          <w:b/>
          <w:lang w:val="el-GR"/>
        </w:rPr>
        <w:t>πρωτοβουλίες</w:t>
      </w:r>
      <w:r>
        <w:rPr>
          <w:rFonts w:cs="Calibri"/>
          <w:b/>
          <w:lang w:val="el-GR"/>
        </w:rPr>
        <w:t xml:space="preserve"> ενίσχυσης</w:t>
      </w:r>
      <w:r w:rsidRPr="00EE418E">
        <w:rPr>
          <w:rFonts w:cs="Calibri"/>
          <w:lang w:val="el-GR"/>
        </w:rPr>
        <w:t xml:space="preserve"> της ανάπτυξης με σκοπό την </w:t>
      </w:r>
      <w:r w:rsidRPr="00EE418E">
        <w:rPr>
          <w:rFonts w:cs="Calibri"/>
          <w:b/>
          <w:lang w:val="el-GR"/>
        </w:rPr>
        <w:t>τόνωση και την προσέλκυση επενδύσεων</w:t>
      </w:r>
      <w:r w:rsidRPr="00EE418E">
        <w:rPr>
          <w:rFonts w:cs="Calibri"/>
          <w:lang w:val="el-GR"/>
        </w:rPr>
        <w:t xml:space="preserve">, την </w:t>
      </w:r>
      <w:r w:rsidRPr="00EE418E">
        <w:rPr>
          <w:rFonts w:cs="Calibri"/>
          <w:b/>
          <w:lang w:val="el-GR"/>
        </w:rPr>
        <w:t>προώθηση της επιχειρηματικότητας και της καινοτομίας</w:t>
      </w:r>
      <w:r w:rsidRPr="00EE418E">
        <w:rPr>
          <w:rFonts w:cs="Calibri"/>
          <w:lang w:val="el-GR"/>
        </w:rPr>
        <w:t xml:space="preserve"> και τη </w:t>
      </w:r>
      <w:r w:rsidRPr="00EE418E">
        <w:rPr>
          <w:rFonts w:cs="Calibri"/>
          <w:b/>
          <w:lang w:val="el-GR"/>
        </w:rPr>
        <w:t>διευκόλυνση της πρόσβασης σε χρηματοδότηση υλοποιούνται με αργούς ρυθμούς</w:t>
      </w:r>
      <w:r w:rsidRPr="00EE418E">
        <w:rPr>
          <w:rFonts w:cs="Calibri"/>
          <w:lang w:val="el-GR"/>
        </w:rPr>
        <w:t xml:space="preserve">. </w:t>
      </w:r>
      <w:r w:rsidRPr="00EE418E">
        <w:rPr>
          <w:rFonts w:cs="Calibri"/>
          <w:b/>
          <w:lang w:val="el-GR"/>
        </w:rPr>
        <w:t>Σε σχέση με το 2016, η Κύπρος έχασε 4 θέσεις στο δείκτη σχετικά με τη διευκόλυνση της επιχειρηματικής δραστηριότητας</w:t>
      </w:r>
      <w:r w:rsidRPr="00EE418E">
        <w:rPr>
          <w:rFonts w:cs="Calibri"/>
          <w:lang w:val="el-GR"/>
        </w:rPr>
        <w:t xml:space="preserve">, και έχει χαμηλή κατάταξη στην Ε.Ε. σε αυτόν τον τομέα (Παγκόσμια Τράπεζα, 2016). Από το 2012, η Κύπρος διολίσθησε κατά 25 θέσεις στον Παγκόσμιο Δείκτη Ανταγωνιστικότητας (Παγκόσμιο Οικονομικό Φόρουμ 2016)  με τα περισσότερα </w:t>
      </w:r>
      <w:r w:rsidRPr="00EE418E">
        <w:rPr>
          <w:rFonts w:cs="Calibri"/>
          <w:b/>
          <w:lang w:val="el-GR"/>
        </w:rPr>
        <w:t>προβλήματα να εντοπίζονται στ</w:t>
      </w:r>
      <w:r>
        <w:rPr>
          <w:rFonts w:cs="Calibri"/>
          <w:b/>
          <w:lang w:val="el-GR"/>
        </w:rPr>
        <w:t>ην</w:t>
      </w:r>
      <w:r w:rsidRPr="00EE418E">
        <w:rPr>
          <w:rFonts w:cs="Calibri"/>
          <w:b/>
          <w:lang w:val="el-GR"/>
        </w:rPr>
        <w:t xml:space="preserve"> πρόσβαση </w:t>
      </w:r>
      <w:r>
        <w:rPr>
          <w:rFonts w:cs="Calibri"/>
          <w:b/>
          <w:lang w:val="el-GR"/>
        </w:rPr>
        <w:t xml:space="preserve">σε </w:t>
      </w:r>
      <w:r w:rsidRPr="00EE418E">
        <w:rPr>
          <w:rFonts w:cs="Calibri"/>
          <w:b/>
          <w:lang w:val="el-GR"/>
        </w:rPr>
        <w:t xml:space="preserve">χρηματοδότηση, </w:t>
      </w:r>
      <w:r>
        <w:rPr>
          <w:rFonts w:cs="Calibri"/>
          <w:b/>
          <w:lang w:val="el-GR"/>
        </w:rPr>
        <w:t>σ</w:t>
      </w:r>
      <w:r w:rsidRPr="00EE418E">
        <w:rPr>
          <w:rFonts w:cs="Calibri"/>
          <w:b/>
          <w:lang w:val="el-GR"/>
        </w:rPr>
        <w:t xml:space="preserve">τη διαφθορά και </w:t>
      </w:r>
      <w:r>
        <w:rPr>
          <w:rFonts w:cs="Calibri"/>
          <w:b/>
          <w:lang w:val="el-GR"/>
        </w:rPr>
        <w:t>σ</w:t>
      </w:r>
      <w:r w:rsidRPr="00EE418E">
        <w:rPr>
          <w:rFonts w:cs="Calibri"/>
          <w:b/>
          <w:lang w:val="el-GR"/>
        </w:rPr>
        <w:t>τη</w:t>
      </w:r>
      <w:r>
        <w:rPr>
          <w:rFonts w:cs="Calibri"/>
          <w:b/>
          <w:lang w:val="el-GR"/>
        </w:rPr>
        <w:t>ν</w:t>
      </w:r>
      <w:r w:rsidRPr="00EE418E">
        <w:rPr>
          <w:rFonts w:cs="Calibri"/>
          <w:b/>
          <w:lang w:val="el-GR"/>
        </w:rPr>
        <w:t xml:space="preserve"> κρατική γραφειοκρατίας</w:t>
      </w:r>
      <w:r w:rsidRPr="00EE418E">
        <w:rPr>
          <w:rFonts w:cs="Calibri"/>
          <w:lang w:val="el-GR"/>
        </w:rPr>
        <w:t>.</w:t>
      </w:r>
    </w:p>
    <w:p w14:paraId="13EBA019" w14:textId="264E441B" w:rsidR="00746384" w:rsidRPr="00A431C4" w:rsidRDefault="00746384" w:rsidP="00746384">
      <w:pPr>
        <w:ind w:left="720"/>
        <w:jc w:val="both"/>
        <w:rPr>
          <w:rFonts w:cs="Calibri"/>
          <w:lang w:val="el-GR"/>
        </w:rPr>
      </w:pPr>
      <w:r w:rsidRPr="00A431C4">
        <w:rPr>
          <w:rFonts w:cs="Calibri"/>
          <w:lang w:val="el-GR"/>
        </w:rPr>
        <w:t xml:space="preserve">Ιδιαίτερα, όσον αφορά στην </w:t>
      </w:r>
      <w:r w:rsidRPr="00A431C4">
        <w:rPr>
          <w:rFonts w:cs="Calibri"/>
          <w:b/>
          <w:lang w:val="el-GR"/>
        </w:rPr>
        <w:t>πρόσβαση σε χρηματοδότηση</w:t>
      </w:r>
      <w:r w:rsidRPr="00A431C4">
        <w:rPr>
          <w:rFonts w:cs="Calibri"/>
          <w:lang w:val="el-GR"/>
        </w:rPr>
        <w:t xml:space="preserve">, εξακολουθεί να αποτελεί την πιο σημαντική πρόκληση για τις </w:t>
      </w:r>
      <w:r>
        <w:rPr>
          <w:rFonts w:cs="Calibri"/>
          <w:lang w:val="el-GR"/>
        </w:rPr>
        <w:t>ΜΜΕ</w:t>
      </w:r>
      <w:r w:rsidRPr="00A431C4">
        <w:rPr>
          <w:rFonts w:cs="Calibri"/>
          <w:lang w:val="el-GR"/>
        </w:rPr>
        <w:t xml:space="preserve"> (όπως δηλώνει το 25% εξ αυτών</w:t>
      </w:r>
      <w:r w:rsidRPr="00A431C4">
        <w:rPr>
          <w:rFonts w:cs="Calibri"/>
          <w:vertAlign w:val="superscript"/>
          <w:lang w:val="el-GR"/>
        </w:rPr>
        <w:footnoteReference w:id="4"/>
      </w:r>
      <w:r w:rsidRPr="00A431C4">
        <w:rPr>
          <w:rFonts w:cs="Calibri"/>
          <w:lang w:val="el-GR"/>
        </w:rPr>
        <w:t xml:space="preserve">) και </w:t>
      </w:r>
      <w:r w:rsidRPr="00A431C4">
        <w:rPr>
          <w:rFonts w:cs="Calibri"/>
          <w:b/>
          <w:lang w:val="el-GR"/>
        </w:rPr>
        <w:t xml:space="preserve">να εξαρτάται πλήρως </w:t>
      </w:r>
      <w:r w:rsidRPr="00A431C4">
        <w:rPr>
          <w:rFonts w:cs="Calibri"/>
          <w:b/>
          <w:lang w:val="el-GR"/>
        </w:rPr>
        <w:lastRenderedPageBreak/>
        <w:t>από τον τραπεζικό δανεισμό</w:t>
      </w:r>
      <w:r w:rsidRPr="00A431C4">
        <w:rPr>
          <w:rFonts w:cs="Calibri"/>
          <w:lang w:val="el-GR"/>
        </w:rPr>
        <w:t xml:space="preserve">, ο οποίος έχει μειωθεί σημαντικά κατά τα τελευταία έτη. Η </w:t>
      </w:r>
      <w:r w:rsidRPr="00A431C4">
        <w:rPr>
          <w:rFonts w:cs="Calibri"/>
          <w:b/>
          <w:lang w:val="el-GR"/>
        </w:rPr>
        <w:t>Κύπρος βρίσκεται κάτω από το μέσο όρο της Ε.Ε. όσον αφορά στην πρόσβαση σε χρηματοδότηση</w:t>
      </w:r>
      <w:r w:rsidRPr="00A431C4">
        <w:rPr>
          <w:rFonts w:cs="Calibri"/>
          <w:lang w:val="el-GR"/>
        </w:rPr>
        <w:t xml:space="preserve">, γεγονός το οποίο οφείλεται στην </w:t>
      </w:r>
      <w:r>
        <w:rPr>
          <w:rFonts w:cs="Calibri"/>
          <w:lang w:val="el-GR"/>
        </w:rPr>
        <w:t>υιοθέτηση από την Κεντρική Τράπεζα αυστηρών</w:t>
      </w:r>
      <w:r w:rsidRPr="00A431C4">
        <w:rPr>
          <w:rFonts w:cs="Calibri"/>
          <w:lang w:val="el-GR"/>
        </w:rPr>
        <w:t xml:space="preserve"> προϋποθέσεων για </w:t>
      </w:r>
      <w:r>
        <w:rPr>
          <w:rFonts w:cs="Calibri"/>
          <w:lang w:val="el-GR"/>
        </w:rPr>
        <w:t>παραχώρηση</w:t>
      </w:r>
      <w:r w:rsidRPr="00A431C4">
        <w:rPr>
          <w:rFonts w:cs="Calibri"/>
          <w:lang w:val="el-GR"/>
        </w:rPr>
        <w:t xml:space="preserve"> πίστωσης, ως αποτέλεσμα της αναδιάρθρωσης και της εξυγίανσης του χρηματοπιστωτικού τομέα, αλλά και στις ανεπαρκώς ανεπτυγμένες κεφαλαιαγορές. Ομοίως</w:t>
      </w:r>
      <w:r>
        <w:rPr>
          <w:rFonts w:cs="Calibri"/>
          <w:lang w:val="el-GR"/>
        </w:rPr>
        <w:t>,</w:t>
      </w:r>
      <w:r w:rsidRPr="00A431C4">
        <w:rPr>
          <w:rFonts w:cs="Calibri"/>
          <w:lang w:val="el-GR"/>
        </w:rPr>
        <w:t xml:space="preserve"> περιορισμένη εξακολουθεί να είναι η </w:t>
      </w:r>
      <w:r w:rsidRPr="00A431C4">
        <w:rPr>
          <w:rFonts w:cs="Calibri"/>
          <w:b/>
          <w:lang w:val="el-GR"/>
        </w:rPr>
        <w:t>πρόσβαση σε εναλλακτικές πηγές χρηματοδότησης</w:t>
      </w:r>
      <w:r w:rsidRPr="00A431C4">
        <w:rPr>
          <w:rFonts w:cs="Calibri"/>
          <w:lang w:val="el-GR"/>
        </w:rPr>
        <w:t>, όπως τα κεφάλαια επιχειρηματικού κινδύνου.</w:t>
      </w:r>
    </w:p>
    <w:p w14:paraId="5169A2F7" w14:textId="63293424" w:rsidR="00746384" w:rsidRPr="00EE418E" w:rsidRDefault="00746384" w:rsidP="00746384">
      <w:pPr>
        <w:ind w:left="720"/>
        <w:jc w:val="both"/>
        <w:rPr>
          <w:rFonts w:cs="Calibri"/>
          <w:lang w:val="el-GR"/>
        </w:rPr>
      </w:pPr>
      <w:r>
        <w:rPr>
          <w:rFonts w:cs="Calibri"/>
          <w:lang w:val="el-GR"/>
        </w:rPr>
        <w:t xml:space="preserve">Παρόλο που </w:t>
      </w:r>
      <w:r w:rsidRPr="00EE418E">
        <w:rPr>
          <w:rFonts w:cs="Calibri"/>
          <w:lang w:val="el-GR"/>
        </w:rPr>
        <w:t xml:space="preserve"> προγράμματα μη επιστρεπτέας χρηματοδότησης είναι διαθέσιμα στις </w:t>
      </w:r>
      <w:r>
        <w:rPr>
          <w:rFonts w:cs="Calibri"/>
          <w:lang w:val="el-GR"/>
        </w:rPr>
        <w:t>ΜΜΕ</w:t>
      </w:r>
      <w:r w:rsidRPr="00EE418E">
        <w:rPr>
          <w:rFonts w:cs="Calibri"/>
          <w:lang w:val="el-GR"/>
        </w:rPr>
        <w:t xml:space="preserve"> στο πλαίσιο των επιχειρησιακών προγραμμάτων των ΕΔΕΤ για την περίοδο 2014-2020, η στήριξη των </w:t>
      </w:r>
      <w:r>
        <w:rPr>
          <w:rFonts w:cs="Calibri"/>
          <w:lang w:val="el-GR"/>
        </w:rPr>
        <w:t>ΜΜΕ</w:t>
      </w:r>
      <w:r w:rsidRPr="00EE418E">
        <w:rPr>
          <w:rFonts w:cs="Calibri"/>
          <w:lang w:val="el-GR"/>
        </w:rPr>
        <w:t xml:space="preserve"> δεν είναι ολοκληρωμένη και επαρκώς στοχευμένη προς τομείς με προϊόντα και υπηρεσίες υψηλής προστιθέμενης αξίας, όπως ορίζεται στη </w:t>
      </w:r>
      <w:r>
        <w:rPr>
          <w:rFonts w:cs="Calibri"/>
          <w:lang w:val="el-GR"/>
        </w:rPr>
        <w:t>Σ</w:t>
      </w:r>
      <w:r w:rsidRPr="00EE418E">
        <w:rPr>
          <w:rFonts w:cs="Calibri"/>
          <w:lang w:val="el-GR"/>
        </w:rPr>
        <w:t xml:space="preserve">τρατηγική </w:t>
      </w:r>
      <w:r>
        <w:rPr>
          <w:rFonts w:cs="Calibri"/>
          <w:lang w:val="el-GR"/>
        </w:rPr>
        <w:t>Έ</w:t>
      </w:r>
      <w:r w:rsidRPr="00EE418E">
        <w:rPr>
          <w:rFonts w:cs="Calibri"/>
          <w:lang w:val="el-GR"/>
        </w:rPr>
        <w:t>ξυπνη</w:t>
      </w:r>
      <w:r>
        <w:rPr>
          <w:rFonts w:cs="Calibri"/>
          <w:lang w:val="el-GR"/>
        </w:rPr>
        <w:t>ς</w:t>
      </w:r>
      <w:r w:rsidRPr="00EE418E">
        <w:rPr>
          <w:rFonts w:cs="Calibri"/>
          <w:lang w:val="el-GR"/>
        </w:rPr>
        <w:t xml:space="preserve"> </w:t>
      </w:r>
      <w:r>
        <w:rPr>
          <w:rFonts w:cs="Calibri"/>
          <w:lang w:val="el-GR"/>
        </w:rPr>
        <w:t>Ε</w:t>
      </w:r>
      <w:r w:rsidRPr="00EE418E">
        <w:rPr>
          <w:rFonts w:cs="Calibri"/>
          <w:lang w:val="el-GR"/>
        </w:rPr>
        <w:t>ξειδίκευση</w:t>
      </w:r>
      <w:r>
        <w:rPr>
          <w:rFonts w:cs="Calibri"/>
          <w:lang w:val="el-GR"/>
        </w:rPr>
        <w:t>ς της Κύπρου</w:t>
      </w:r>
      <w:r w:rsidRPr="00EE418E">
        <w:rPr>
          <w:rFonts w:cs="Calibri"/>
          <w:lang w:val="el-GR"/>
        </w:rPr>
        <w:t xml:space="preserve">. </w:t>
      </w:r>
    </w:p>
    <w:p w14:paraId="5C9DCD4C" w14:textId="608781FA" w:rsidR="00746384" w:rsidRPr="00EE418E" w:rsidRDefault="00746384" w:rsidP="00746384">
      <w:pPr>
        <w:ind w:left="720"/>
        <w:jc w:val="both"/>
        <w:rPr>
          <w:rFonts w:cs="Calibri"/>
          <w:lang w:val="el-GR"/>
        </w:rPr>
      </w:pPr>
      <w:r w:rsidRPr="00583E4E">
        <w:rPr>
          <w:rFonts w:cs="Calibri"/>
          <w:b/>
          <w:lang w:val="el-GR"/>
        </w:rPr>
        <w:t>Το πλαίσιο λειτουργίας του δημόσιου τομέα συνεχίζει να παρουσιάζει αδυναμίες</w:t>
      </w:r>
      <w:r w:rsidRPr="00EE418E">
        <w:rPr>
          <w:rFonts w:cs="Calibri"/>
          <w:b/>
          <w:lang w:val="el-GR"/>
        </w:rPr>
        <w:t xml:space="preserve"> </w:t>
      </w:r>
      <w:r w:rsidRPr="00EE418E">
        <w:rPr>
          <w:rFonts w:cs="Calibri"/>
          <w:lang w:val="el-GR"/>
        </w:rPr>
        <w:t xml:space="preserve">και η </w:t>
      </w:r>
      <w:r w:rsidRPr="00EE418E">
        <w:rPr>
          <w:rFonts w:cs="Calibri"/>
          <w:b/>
          <w:lang w:val="el-GR"/>
        </w:rPr>
        <w:t>επιβεβλημένη</w:t>
      </w:r>
      <w:r w:rsidRPr="00EE418E">
        <w:rPr>
          <w:rFonts w:cs="Calibri"/>
          <w:lang w:val="el-GR"/>
        </w:rPr>
        <w:t xml:space="preserve"> </w:t>
      </w:r>
      <w:r w:rsidRPr="00EE418E">
        <w:rPr>
          <w:rFonts w:cs="Calibri"/>
          <w:b/>
          <w:lang w:val="el-GR"/>
        </w:rPr>
        <w:t>μεταρρύθμισή του</w:t>
      </w:r>
      <w:r w:rsidRPr="00EE418E">
        <w:rPr>
          <w:rFonts w:cs="Calibri"/>
          <w:lang w:val="el-GR"/>
        </w:rPr>
        <w:t xml:space="preserve"> δύναται να έχει οριζόντιο αντίκτυπο στη βελτίωση της ανταγωνιστικότητας της οικονομίας.</w:t>
      </w:r>
      <w:r>
        <w:rPr>
          <w:rFonts w:cs="Calibri"/>
          <w:lang w:val="el-GR"/>
        </w:rPr>
        <w:t xml:space="preserve"> </w:t>
      </w:r>
      <w:r w:rsidRPr="00583E4E">
        <w:rPr>
          <w:rFonts w:cs="Calibri"/>
          <w:b/>
          <w:lang w:val="el-GR"/>
        </w:rPr>
        <w:t>Το μισθολογικό κόστος της</w:t>
      </w:r>
      <w:r w:rsidRPr="00EE418E">
        <w:rPr>
          <w:rFonts w:cs="Calibri"/>
          <w:lang w:val="el-GR"/>
        </w:rPr>
        <w:t xml:space="preserve"> </w:t>
      </w:r>
      <w:r w:rsidRPr="00EE418E">
        <w:rPr>
          <w:rFonts w:cs="Calibri"/>
          <w:b/>
          <w:lang w:val="el-GR"/>
        </w:rPr>
        <w:t>δημόσια</w:t>
      </w:r>
      <w:r>
        <w:rPr>
          <w:rFonts w:cs="Calibri"/>
          <w:b/>
          <w:lang w:val="el-GR"/>
        </w:rPr>
        <w:t>ς</w:t>
      </w:r>
      <w:r w:rsidRPr="00EE418E">
        <w:rPr>
          <w:rFonts w:cs="Calibri"/>
          <w:b/>
          <w:lang w:val="el-GR"/>
        </w:rPr>
        <w:t xml:space="preserve"> διοίκηση</w:t>
      </w:r>
      <w:r>
        <w:rPr>
          <w:rFonts w:cs="Calibri"/>
          <w:b/>
          <w:lang w:val="el-GR"/>
        </w:rPr>
        <w:t>ς</w:t>
      </w:r>
      <w:r w:rsidRPr="00EE418E">
        <w:rPr>
          <w:rFonts w:cs="Calibri"/>
          <w:b/>
          <w:lang w:val="el-GR"/>
        </w:rPr>
        <w:t xml:space="preserve"> χαρακτηρίζεται από ένα από τα υψηλότερα μισθολογικά κόστη</w:t>
      </w:r>
      <w:r w:rsidRPr="00EE418E">
        <w:rPr>
          <w:rFonts w:cs="Calibri"/>
          <w:lang w:val="el-GR"/>
        </w:rPr>
        <w:t xml:space="preserve"> (ως ποσοστό του ΑΕΠ) </w:t>
      </w:r>
      <w:r w:rsidRPr="00EE418E">
        <w:rPr>
          <w:rFonts w:cs="Calibri"/>
          <w:b/>
          <w:lang w:val="el-GR"/>
        </w:rPr>
        <w:t>στη ζώνη του Ευρώ</w:t>
      </w:r>
      <w:r w:rsidRPr="00EE418E">
        <w:rPr>
          <w:rFonts w:cs="Calibri"/>
          <w:lang w:val="el-GR"/>
        </w:rPr>
        <w:t xml:space="preserve">, </w:t>
      </w:r>
      <w:r w:rsidRPr="00EE418E">
        <w:rPr>
          <w:rFonts w:cs="Calibri"/>
          <w:b/>
          <w:lang w:val="el-GR"/>
        </w:rPr>
        <w:t>αλλά η αποδοτικότητά της</w:t>
      </w:r>
      <w:r w:rsidRPr="00EE418E">
        <w:rPr>
          <w:rFonts w:cs="Calibri"/>
          <w:lang w:val="el-GR"/>
        </w:rPr>
        <w:t xml:space="preserve"> </w:t>
      </w:r>
      <w:r w:rsidRPr="00EE418E">
        <w:rPr>
          <w:rFonts w:cs="Calibri"/>
          <w:b/>
          <w:lang w:val="el-GR"/>
        </w:rPr>
        <w:t>παραμένει μέτρια</w:t>
      </w:r>
      <w:r w:rsidR="00B9244D">
        <w:rPr>
          <w:rStyle w:val="FootnoteReference"/>
          <w:rFonts w:cs="Calibri"/>
          <w:lang w:val="el-GR"/>
        </w:rPr>
        <w:footnoteReference w:id="5"/>
      </w:r>
      <w:r w:rsidR="00703A7B" w:rsidRPr="00EE418E">
        <w:rPr>
          <w:rFonts w:cs="Calibri"/>
          <w:lang w:val="el-GR"/>
        </w:rPr>
        <w:t>.</w:t>
      </w:r>
      <w:r w:rsidRPr="00EE418E">
        <w:rPr>
          <w:rFonts w:cs="Calibri"/>
          <w:lang w:val="el-GR"/>
        </w:rPr>
        <w:t xml:space="preserve"> </w:t>
      </w:r>
      <w:r w:rsidRPr="00A442ED">
        <w:rPr>
          <w:rFonts w:cs="Calibri"/>
          <w:lang w:val="el-GR"/>
        </w:rPr>
        <w:t>Η τελευταία θα μπορούσε να βελτιωθεί</w:t>
      </w:r>
      <w:r>
        <w:rPr>
          <w:rFonts w:cs="Calibri"/>
          <w:lang w:val="el-GR"/>
        </w:rPr>
        <w:t>,</w:t>
      </w:r>
      <w:r w:rsidRPr="00A442ED">
        <w:rPr>
          <w:rFonts w:cs="Calibri"/>
          <w:lang w:val="el-GR"/>
        </w:rPr>
        <w:t xml:space="preserve"> μεταξύ άλλων</w:t>
      </w:r>
      <w:r>
        <w:rPr>
          <w:rFonts w:cs="Calibri"/>
          <w:lang w:val="el-GR"/>
        </w:rPr>
        <w:t>,</w:t>
      </w:r>
      <w:r w:rsidRPr="00A442ED">
        <w:rPr>
          <w:rFonts w:cs="Calibri"/>
          <w:lang w:val="el-GR"/>
        </w:rPr>
        <w:t xml:space="preserve"> με την α</w:t>
      </w:r>
      <w:r w:rsidRPr="00EE418E">
        <w:rPr>
          <w:rFonts w:cs="Calibri"/>
          <w:lang w:val="el-GR"/>
        </w:rPr>
        <w:t xml:space="preserve">υξημένη διαθεσιμότητα υπηρεσιών ηλεκτρονικής διακυβέρνησης. Καλό παράδειγμα αποτελεί ο εκσυγχρονισμός της διαχείρισης των δημοσίων επενδύσεων, ο οποίος, αν και σε πρώιμα στάδια, έχει σημειώσει κάποια πρόοδο όσον αφορά </w:t>
      </w:r>
      <w:r>
        <w:rPr>
          <w:rFonts w:cs="Calibri"/>
          <w:lang w:val="el-GR"/>
        </w:rPr>
        <w:t>σ</w:t>
      </w:r>
      <w:r w:rsidRPr="00EE418E">
        <w:rPr>
          <w:rFonts w:cs="Calibri"/>
          <w:lang w:val="el-GR"/>
        </w:rPr>
        <w:t xml:space="preserve">την ενίσχυση </w:t>
      </w:r>
      <w:r>
        <w:rPr>
          <w:rFonts w:cs="Calibri"/>
          <w:lang w:val="el-GR"/>
        </w:rPr>
        <w:t xml:space="preserve">των </w:t>
      </w:r>
      <w:r w:rsidRPr="00EE418E">
        <w:rPr>
          <w:rFonts w:cs="Calibri"/>
          <w:lang w:val="el-GR"/>
        </w:rPr>
        <w:t xml:space="preserve">διαδικασιών επιλογής έργων. </w:t>
      </w:r>
      <w:r w:rsidRPr="007E1190">
        <w:rPr>
          <w:rFonts w:cs="Calibri"/>
          <w:lang w:val="el-GR"/>
        </w:rPr>
        <w:t xml:space="preserve">Επίσης, </w:t>
      </w:r>
      <w:r>
        <w:rPr>
          <w:rFonts w:cs="Calibri"/>
          <w:lang w:val="el-GR"/>
        </w:rPr>
        <w:t xml:space="preserve"> </w:t>
      </w:r>
      <w:r w:rsidRPr="00583E4E">
        <w:rPr>
          <w:rFonts w:cs="Calibri"/>
          <w:b/>
          <w:lang w:val="el-GR"/>
        </w:rPr>
        <w:t>παρόλες τις σημαντικές σχετικές πρωτοβουλίες, το επίπεδο των ψηφιακών δημόσιων υπηρεσιών παραμένει σε σχετικά χαμηλή κλίμακα</w:t>
      </w:r>
      <w:r w:rsidRPr="007E1190">
        <w:rPr>
          <w:rFonts w:cs="Calibri"/>
          <w:lang w:val="el-GR"/>
        </w:rPr>
        <w:t xml:space="preserve">, </w:t>
      </w:r>
      <w:r>
        <w:rPr>
          <w:rFonts w:cs="Calibri"/>
          <w:lang w:val="el-GR"/>
        </w:rPr>
        <w:t xml:space="preserve">με αποτέλεσμα </w:t>
      </w:r>
      <w:r w:rsidRPr="007E1190">
        <w:rPr>
          <w:rFonts w:cs="Calibri"/>
          <w:lang w:val="el-GR"/>
        </w:rPr>
        <w:t xml:space="preserve">η Κύπρος </w:t>
      </w:r>
      <w:r>
        <w:rPr>
          <w:rFonts w:cs="Calibri"/>
          <w:lang w:val="el-GR"/>
        </w:rPr>
        <w:t>να βρίσκεται</w:t>
      </w:r>
      <w:r w:rsidRPr="007E1190">
        <w:rPr>
          <w:rFonts w:cs="Calibri"/>
          <w:lang w:val="el-GR"/>
        </w:rPr>
        <w:t xml:space="preserve"> στο κάτω μισό των χωρών της Ε.Ε. στο δείκτη ψηφιακής οικονομίας και κοινωνίας</w:t>
      </w:r>
      <w:r w:rsidRPr="00EE418E">
        <w:rPr>
          <w:rFonts w:cs="Calibri"/>
          <w:lang w:val="el-GR"/>
        </w:rPr>
        <w:t xml:space="preserve">. </w:t>
      </w:r>
      <w:r>
        <w:rPr>
          <w:rFonts w:cs="Calibri"/>
          <w:lang w:val="el-GR"/>
        </w:rPr>
        <w:t>Η β</w:t>
      </w:r>
      <w:r w:rsidRPr="00EE418E">
        <w:rPr>
          <w:rFonts w:cs="Calibri"/>
          <w:lang w:val="el-GR"/>
        </w:rPr>
        <w:t>ελτίωση σε αυτόν τον τομέα θα ενισχύσει το ποσοστό χρηστών ηλεκτρονικής διακυβέρνησης στην Κύπρο (μόλις 29% των χρηστών του διαδικτύου υπέβαλλαν έντυπα στις δημόσιες αρχές ηλεκτρονικά κατά το 2016).</w:t>
      </w:r>
    </w:p>
    <w:p w14:paraId="2CD9C835" w14:textId="07E85564" w:rsidR="00746384" w:rsidRPr="00EE418E" w:rsidRDefault="00746384" w:rsidP="00746384">
      <w:pPr>
        <w:ind w:left="720"/>
        <w:jc w:val="both"/>
        <w:rPr>
          <w:rFonts w:cs="Calibri"/>
          <w:lang w:val="el-GR"/>
        </w:rPr>
      </w:pPr>
      <w:r w:rsidRPr="00EE418E">
        <w:rPr>
          <w:rFonts w:cs="Calibri"/>
          <w:lang w:val="el-GR"/>
        </w:rPr>
        <w:t xml:space="preserve">Παράλληλα </w:t>
      </w:r>
      <w:r w:rsidRPr="007E1190">
        <w:rPr>
          <w:rFonts w:cs="Calibri"/>
          <w:b/>
          <w:lang w:val="el-GR"/>
        </w:rPr>
        <w:t>οι υψηλές τιμές σειράς υπηρεσιών</w:t>
      </w:r>
      <w:r w:rsidRPr="00EE418E">
        <w:rPr>
          <w:rFonts w:cs="Calibri"/>
          <w:lang w:val="el-GR"/>
        </w:rPr>
        <w:t xml:space="preserve"> </w:t>
      </w:r>
      <w:r w:rsidRPr="00EE418E">
        <w:rPr>
          <w:rFonts w:cs="Calibri"/>
          <w:b/>
          <w:lang w:val="el-GR"/>
        </w:rPr>
        <w:t>κοινής ωφέλειας,</w:t>
      </w:r>
      <w:r w:rsidRPr="00EE418E">
        <w:rPr>
          <w:rFonts w:cs="Calibri"/>
          <w:lang w:val="el-GR"/>
        </w:rPr>
        <w:t xml:space="preserve"> όπως αυτές των τηλεπικοινωνιών και του ηλεκτρισμού</w:t>
      </w:r>
      <w:r>
        <w:rPr>
          <w:rFonts w:cs="Calibri"/>
          <w:lang w:val="el-GR"/>
        </w:rPr>
        <w:t>,</w:t>
      </w:r>
      <w:r w:rsidRPr="00EE418E">
        <w:rPr>
          <w:rFonts w:cs="Calibri"/>
          <w:lang w:val="el-GR"/>
        </w:rPr>
        <w:t xml:space="preserve"> δημιουργούν πιέσεις στην ανταγωνιστικότητα των παραγόμενων προϊόντων και υπηρεσιών της κυπριακής οικονομίας.</w:t>
      </w:r>
    </w:p>
    <w:p w14:paraId="39E26CCD" w14:textId="77777777" w:rsidR="00746384" w:rsidRPr="00EE418E" w:rsidRDefault="00746384" w:rsidP="00746384">
      <w:pPr>
        <w:ind w:left="720"/>
        <w:jc w:val="both"/>
        <w:rPr>
          <w:rFonts w:cs="Calibri"/>
          <w:lang w:val="el-GR"/>
        </w:rPr>
      </w:pPr>
      <w:r w:rsidRPr="00EE418E">
        <w:rPr>
          <w:rFonts w:cs="Calibri"/>
          <w:lang w:val="el-GR"/>
        </w:rPr>
        <w:t>Επιπλέον, η ρυθμιστική και διοικητική επιβάρυνση των επιχειρήσεων παραμένει υψηλή και εμποδίζει τις επιχειρηματικές δραστηριότητες και τις επενδυτικές αποφάσεις, ενώ εξακολουθεί να εκκρεμεί η έγκριση της μεταρρύθμισης της τοπικής αυτοδιοίκησης, που αναμένεται να επηρεάσει ζωτικής σημασίας δημόσιες υπηρεσίες σε τοπικό επίπεδο.</w:t>
      </w:r>
    </w:p>
    <w:p w14:paraId="2E5B1569" w14:textId="1CDA30DB" w:rsidR="00B52132" w:rsidRDefault="00746384" w:rsidP="00746384">
      <w:pPr>
        <w:ind w:left="709"/>
        <w:jc w:val="both"/>
        <w:rPr>
          <w:rFonts w:cs="Calibri"/>
          <w:lang w:val="el-GR"/>
        </w:rPr>
      </w:pPr>
      <w:r w:rsidRPr="007E1190">
        <w:rPr>
          <w:rFonts w:cs="Calibri"/>
          <w:b/>
          <w:lang w:val="el-GR"/>
        </w:rPr>
        <w:t>Συνολικά, οι</w:t>
      </w:r>
      <w:r w:rsidRPr="00EE418E">
        <w:rPr>
          <w:rFonts w:cs="Calibri"/>
          <w:lang w:val="el-GR"/>
        </w:rPr>
        <w:t xml:space="preserve"> </w:t>
      </w:r>
      <w:r w:rsidRPr="00EE418E">
        <w:rPr>
          <w:rFonts w:cs="Calibri"/>
          <w:b/>
          <w:lang w:val="el-GR"/>
        </w:rPr>
        <w:t>μεταρρυθμίσεις που σχετίζονται με τη βελτίωση του επιχειρηματικού περιβάλλοντος</w:t>
      </w:r>
      <w:r>
        <w:rPr>
          <w:rFonts w:cs="Calibri"/>
          <w:b/>
          <w:lang w:val="el-GR"/>
        </w:rPr>
        <w:t>,</w:t>
      </w:r>
      <w:r w:rsidRPr="00EE418E">
        <w:rPr>
          <w:rFonts w:cs="Calibri"/>
          <w:b/>
          <w:lang w:val="el-GR"/>
        </w:rPr>
        <w:t xml:space="preserve"> όπως η ενίσχυση της ανταγωνιστικότητας των </w:t>
      </w:r>
      <w:r>
        <w:rPr>
          <w:rFonts w:cs="Calibri"/>
          <w:b/>
          <w:lang w:val="el-GR"/>
        </w:rPr>
        <w:t>ΜΜΕ</w:t>
      </w:r>
      <w:r w:rsidRPr="00EE418E">
        <w:rPr>
          <w:rFonts w:cs="Calibri"/>
          <w:b/>
          <w:lang w:val="el-GR"/>
        </w:rPr>
        <w:t xml:space="preserve"> και της οικονομίας, ο εκσυγχρονισμός του δημόσιου τομέα και η ανάπτυξη ψηφιακών δημόσιων υπηρεσιών,  υλοποιούνται με αργούς ρυθμούς κατά τη διετία 2015-2016</w:t>
      </w:r>
      <w:r w:rsidRPr="00EE418E">
        <w:rPr>
          <w:rFonts w:cs="Calibri"/>
          <w:lang w:val="el-GR"/>
        </w:rPr>
        <w:t xml:space="preserve">. </w:t>
      </w:r>
    </w:p>
    <w:p w14:paraId="7990FA34" w14:textId="77777777" w:rsidR="00B52132" w:rsidRPr="00EE418E" w:rsidRDefault="00B52132" w:rsidP="00B52132">
      <w:pPr>
        <w:spacing w:after="0" w:line="240" w:lineRule="auto"/>
        <w:ind w:left="709"/>
        <w:jc w:val="both"/>
        <w:rPr>
          <w:rFonts w:cs="Calibri"/>
          <w:lang w:val="el-GR"/>
        </w:rPr>
      </w:pPr>
    </w:p>
    <w:p w14:paraId="4941EA09" w14:textId="6820E529" w:rsidR="00746384" w:rsidRPr="00EE418E" w:rsidRDefault="00746384" w:rsidP="001D583B">
      <w:pPr>
        <w:numPr>
          <w:ilvl w:val="0"/>
          <w:numId w:val="37"/>
        </w:numPr>
        <w:jc w:val="both"/>
        <w:rPr>
          <w:rFonts w:cs="Calibri"/>
          <w:b/>
          <w:i/>
          <w:u w:val="single"/>
          <w:lang w:val="el-GR"/>
        </w:rPr>
      </w:pPr>
      <w:r w:rsidRPr="001677F1">
        <w:rPr>
          <w:rFonts w:cs="Calibri"/>
          <w:b/>
          <w:i/>
          <w:u w:val="single"/>
          <w:lang w:val="el-GR"/>
        </w:rPr>
        <w:lastRenderedPageBreak/>
        <w:t>Αναβάθμιση Ανθρώπινου Δυναμικού, Προώθηση της Απασχόλησης και Κοινωνική Συνοχή</w:t>
      </w:r>
    </w:p>
    <w:p w14:paraId="00BC424D" w14:textId="3A42BF46" w:rsidR="00746384" w:rsidRPr="00EE418E" w:rsidRDefault="00703A7B" w:rsidP="00746384">
      <w:pPr>
        <w:ind w:left="720"/>
        <w:jc w:val="both"/>
        <w:rPr>
          <w:rFonts w:cs="Calibri"/>
          <w:lang w:val="el-GR"/>
        </w:rPr>
      </w:pPr>
      <w:r>
        <w:rPr>
          <w:rFonts w:cs="Calibri"/>
          <w:lang w:val="el-GR"/>
        </w:rPr>
        <w:t>Σύμφωνα με Έκθεση της Ευρωπαϊκής Επιτροπής</w:t>
      </w:r>
      <w:r>
        <w:rPr>
          <w:rStyle w:val="FootnoteReference"/>
          <w:rFonts w:cs="Calibri"/>
          <w:b/>
          <w:i/>
          <w:u w:val="single"/>
          <w:lang w:val="el-GR"/>
        </w:rPr>
        <w:footnoteReference w:id="6"/>
      </w:r>
      <w:r>
        <w:rPr>
          <w:rFonts w:cs="Calibri"/>
          <w:lang w:val="el-GR"/>
        </w:rPr>
        <w:t>, η</w:t>
      </w:r>
      <w:r w:rsidR="00746384" w:rsidRPr="00EE418E">
        <w:rPr>
          <w:rFonts w:cs="Calibri"/>
          <w:lang w:val="el-GR"/>
        </w:rPr>
        <w:t xml:space="preserve"> </w:t>
      </w:r>
      <w:r w:rsidR="00746384" w:rsidRPr="00EE418E">
        <w:rPr>
          <w:rFonts w:cs="Calibri"/>
          <w:b/>
          <w:lang w:val="el-GR"/>
        </w:rPr>
        <w:t>ανεργία μειώθηκε</w:t>
      </w:r>
      <w:r w:rsidR="00746384" w:rsidRPr="00EE418E">
        <w:rPr>
          <w:rFonts w:cs="Calibri"/>
          <w:lang w:val="el-GR"/>
        </w:rPr>
        <w:t xml:space="preserve"> </w:t>
      </w:r>
      <w:r w:rsidR="00746384" w:rsidRPr="00EE418E">
        <w:rPr>
          <w:rFonts w:cs="Calibri"/>
          <w:b/>
          <w:lang w:val="el-GR"/>
        </w:rPr>
        <w:t>από το ανώτατο ποσοστό του 16,5% το 2014 σε 13,2 % το τρίτο τρίμηνο του 2016 αλλά παραμένει υψηλή</w:t>
      </w:r>
      <w:r w:rsidR="00746384" w:rsidRPr="00EE418E">
        <w:rPr>
          <w:rFonts w:cs="Calibri"/>
          <w:lang w:val="el-GR"/>
        </w:rPr>
        <w:t xml:space="preserve">, ιδιαίτερα σε σύγκριση με το επίπεδο του 5% που βρισκόταν πριν την κρίση. Ιδιαίτερα η </w:t>
      </w:r>
      <w:r w:rsidR="00746384" w:rsidRPr="00EE418E">
        <w:rPr>
          <w:rFonts w:cs="Calibri"/>
          <w:b/>
          <w:lang w:val="el-GR"/>
        </w:rPr>
        <w:t>ανεργία των νέων και η μακροχρόνια ανεργία εξακολουθούν να βρίσκονται σε υψηλά επίπεδα</w:t>
      </w:r>
      <w:r w:rsidR="00746384" w:rsidRPr="00EE418E">
        <w:rPr>
          <w:rFonts w:cs="Calibri"/>
          <w:lang w:val="el-GR"/>
        </w:rPr>
        <w:t xml:space="preserve"> (29,9% και 5,8% αντίστοιχα), </w:t>
      </w:r>
      <w:r w:rsidR="00746384" w:rsidRPr="00EE418E">
        <w:rPr>
          <w:rFonts w:cs="Calibri"/>
          <w:b/>
          <w:lang w:val="el-GR"/>
        </w:rPr>
        <w:t>παρά την πτωτική τους τάση</w:t>
      </w:r>
      <w:r w:rsidR="00746384" w:rsidRPr="00EE418E">
        <w:rPr>
          <w:rFonts w:cs="Calibri"/>
          <w:lang w:val="el-GR"/>
        </w:rPr>
        <w:t xml:space="preserve">. </w:t>
      </w:r>
    </w:p>
    <w:p w14:paraId="51482E15" w14:textId="1A11BC9D" w:rsidR="00746384" w:rsidRPr="00EE418E" w:rsidRDefault="00746384" w:rsidP="00746384">
      <w:pPr>
        <w:ind w:left="720"/>
        <w:jc w:val="both"/>
        <w:rPr>
          <w:rFonts w:cs="Calibri"/>
          <w:lang w:val="el-GR"/>
        </w:rPr>
      </w:pPr>
      <w:r w:rsidRPr="00EE418E">
        <w:rPr>
          <w:rFonts w:cs="Calibri"/>
          <w:lang w:val="el-GR"/>
        </w:rPr>
        <w:t xml:space="preserve">Ο </w:t>
      </w:r>
      <w:r w:rsidRPr="001677F1">
        <w:rPr>
          <w:rFonts w:cs="Calibri"/>
          <w:b/>
          <w:lang w:val="el-GR"/>
        </w:rPr>
        <w:t xml:space="preserve">χαμηλός επιχειρηματικός δυναμισμός και η </w:t>
      </w:r>
      <w:r>
        <w:rPr>
          <w:rFonts w:cs="Calibri"/>
          <w:b/>
          <w:lang w:val="el-GR"/>
        </w:rPr>
        <w:t>ανεπαρκώς στοχευμένη</w:t>
      </w:r>
      <w:r w:rsidRPr="001677F1">
        <w:rPr>
          <w:rFonts w:cs="Calibri"/>
          <w:b/>
          <w:lang w:val="el-GR"/>
        </w:rPr>
        <w:t xml:space="preserve"> ανάπτυξη δεξιοτήτων</w:t>
      </w:r>
      <w:r w:rsidRPr="00EE418E">
        <w:rPr>
          <w:rFonts w:cs="Calibri"/>
          <w:lang w:val="el-GR"/>
        </w:rPr>
        <w:t xml:space="preserve"> συνεχίζουν να επιτείνουν τις αναντιστοιχίες δεξιοτήτων που παρατηρούνται στην οικονομία, δυσχεραίνοντας τη δημιουργία θέσεων απασχόλησης και έχοντας </w:t>
      </w:r>
      <w:r>
        <w:rPr>
          <w:rFonts w:cs="Calibri"/>
          <w:lang w:val="el-GR"/>
        </w:rPr>
        <w:t>αρνητικές</w:t>
      </w:r>
      <w:r w:rsidRPr="00EE418E">
        <w:rPr>
          <w:rFonts w:cs="Calibri"/>
          <w:lang w:val="el-GR"/>
        </w:rPr>
        <w:t xml:space="preserve"> επιπτώσεις για τη δυνητική ανάπτυξη. Η </w:t>
      </w:r>
      <w:r w:rsidRPr="00EE418E">
        <w:rPr>
          <w:rFonts w:cs="Calibri"/>
          <w:b/>
          <w:lang w:val="el-GR"/>
        </w:rPr>
        <w:t xml:space="preserve">επιδείνωση των επιδόσεων </w:t>
      </w:r>
      <w:r w:rsidR="00615D5E">
        <w:rPr>
          <w:rFonts w:cs="Calibri"/>
          <w:b/>
          <w:lang w:val="el-GR"/>
        </w:rPr>
        <w:t xml:space="preserve">των Κύπριων φοιτητών </w:t>
      </w:r>
      <w:r w:rsidRPr="00EE418E">
        <w:rPr>
          <w:rFonts w:cs="Calibri"/>
          <w:b/>
          <w:lang w:val="el-GR"/>
        </w:rPr>
        <w:t xml:space="preserve">σε βασικές </w:t>
      </w:r>
      <w:r w:rsidR="00C32DCB">
        <w:rPr>
          <w:rFonts w:cs="Calibri"/>
          <w:b/>
          <w:lang w:val="el-GR"/>
        </w:rPr>
        <w:t xml:space="preserve">μαθησιακές </w:t>
      </w:r>
      <w:r w:rsidRPr="00EE418E">
        <w:rPr>
          <w:rFonts w:cs="Calibri"/>
          <w:b/>
          <w:lang w:val="el-GR"/>
        </w:rPr>
        <w:t>δεξιότητες</w:t>
      </w:r>
      <w:r w:rsidRPr="00EE418E">
        <w:rPr>
          <w:rFonts w:cs="Calibri"/>
          <w:vertAlign w:val="superscript"/>
          <w:lang w:val="el-GR"/>
        </w:rPr>
        <w:footnoteReference w:id="7"/>
      </w:r>
      <w:r w:rsidR="00703A7B">
        <w:rPr>
          <w:rFonts w:cs="Calibri"/>
          <w:b/>
          <w:lang w:val="el-GR"/>
        </w:rPr>
        <w:t>,</w:t>
      </w:r>
      <w:r w:rsidRPr="00EE418E">
        <w:rPr>
          <w:rFonts w:cs="Calibri"/>
          <w:lang w:val="el-GR"/>
        </w:rPr>
        <w:t xml:space="preserve"> </w:t>
      </w:r>
      <w:r w:rsidRPr="00EE418E">
        <w:rPr>
          <w:rFonts w:cs="Calibri"/>
          <w:b/>
          <w:lang w:val="el-GR"/>
        </w:rPr>
        <w:t>σε σχέση με το 2012</w:t>
      </w:r>
      <w:r w:rsidR="00703A7B">
        <w:rPr>
          <w:rFonts w:cs="Calibri"/>
          <w:b/>
          <w:lang w:val="el-GR"/>
        </w:rPr>
        <w:t>,</w:t>
      </w:r>
      <w:r w:rsidRPr="00EE418E">
        <w:rPr>
          <w:rFonts w:cs="Calibri"/>
          <w:b/>
          <w:lang w:val="el-GR"/>
        </w:rPr>
        <w:t xml:space="preserve"> θέτει τη χώρα πολύ κάτω από το μέσο όρο της Ε.Ε. και του ΟΟΣΑ</w:t>
      </w:r>
      <w:r w:rsidR="00703A7B">
        <w:rPr>
          <w:rFonts w:cs="Calibri"/>
          <w:b/>
          <w:lang w:val="el-GR"/>
        </w:rPr>
        <w:t>,</w:t>
      </w:r>
      <w:r w:rsidRPr="00EE418E">
        <w:rPr>
          <w:rFonts w:cs="Calibri"/>
          <w:lang w:val="el-GR"/>
        </w:rPr>
        <w:t xml:space="preserve"> ενώ το </w:t>
      </w:r>
      <w:r w:rsidRPr="00EE418E">
        <w:rPr>
          <w:rFonts w:cs="Calibri"/>
          <w:b/>
          <w:lang w:val="el-GR"/>
        </w:rPr>
        <w:t>χαμηλό επίπεδο ψηφιακών δεξιοτήτων είναι αντίστοιχα ανησυχητικό</w:t>
      </w:r>
      <w:r w:rsidRPr="00EE418E">
        <w:rPr>
          <w:rFonts w:cs="Calibri"/>
          <w:lang w:val="el-GR"/>
        </w:rPr>
        <w:t xml:space="preserve">, δεδομένου ότι το 2015 μόνο το 43% των Κυπρίων διέθετε τουλάχιστον βασικό επίπεδο ψηφιακών δεξιοτήτων, κάτω από το μέσο όρο της Ε.Ε. που είναι 56%. Έτσι, παρατηρείται το παράδοξο </w:t>
      </w:r>
      <w:r w:rsidR="00703A7B">
        <w:rPr>
          <w:rFonts w:cs="Calibri"/>
          <w:lang w:val="el-GR"/>
        </w:rPr>
        <w:t xml:space="preserve">ότι </w:t>
      </w:r>
      <w:r w:rsidRPr="00EE418E">
        <w:rPr>
          <w:rFonts w:cs="Calibri"/>
          <w:lang w:val="el-GR"/>
        </w:rPr>
        <w:t xml:space="preserve">ενώ οι δαπάνες για την εκπαίδευση είναι υψηλότερες από το μέσο όρο της Ε.Ε., οι εκπαιδευτικές επιδόσεις είναι σχετικά χαμηλές. Παράλληλα, η </w:t>
      </w:r>
      <w:r w:rsidRPr="00EE418E">
        <w:rPr>
          <w:rFonts w:cs="Calibri"/>
          <w:b/>
          <w:lang w:val="el-GR"/>
        </w:rPr>
        <w:t>συμμετοχή στην επαγγελματική εκπαίδευση και κατάρτιση είναι σχετικά χαμηλή</w:t>
      </w:r>
      <w:r w:rsidR="00703A7B">
        <w:rPr>
          <w:rFonts w:cs="Calibri"/>
          <w:b/>
          <w:lang w:val="el-GR"/>
        </w:rPr>
        <w:t>,</w:t>
      </w:r>
      <w:r w:rsidRPr="00EE418E">
        <w:rPr>
          <w:rFonts w:cs="Calibri"/>
          <w:lang w:val="el-GR"/>
        </w:rPr>
        <w:t xml:space="preserve"> γεγονός που καταδεικνύει το περιθώριο να αυξηθεί δυνητικά η σημασία και η ελκυστικότητα των συστημάτων επαγγελματικής εκπαίδευσης και κατάρτισης. Το συνολικό ποσοστό συμμετοχής ενηλίκων στη δια βίου μάθηση είναι χαμηλό και κάτω από το μέσο όρο της Ε.Ε. Η </w:t>
      </w:r>
      <w:r w:rsidRPr="00EE418E">
        <w:rPr>
          <w:rFonts w:cs="Calibri"/>
          <w:b/>
          <w:lang w:val="el-GR"/>
        </w:rPr>
        <w:t xml:space="preserve">διαμόρφωση ενός αποτελεσματικού συστήματος Δια Βίου Μάθησης και η αναμόρφωση της Μαθητείας συνεχίζουν να αποτελούν </w:t>
      </w:r>
      <w:r>
        <w:rPr>
          <w:rFonts w:cs="Calibri"/>
          <w:b/>
          <w:lang w:val="el-GR"/>
        </w:rPr>
        <w:t>σημαντική πρόκληση</w:t>
      </w:r>
      <w:r w:rsidRPr="00EE418E">
        <w:rPr>
          <w:rFonts w:cs="Calibri"/>
          <w:b/>
          <w:lang w:val="el-GR"/>
        </w:rPr>
        <w:t xml:space="preserve"> για την Κύπρο</w:t>
      </w:r>
      <w:r w:rsidRPr="00EE418E">
        <w:rPr>
          <w:rFonts w:cs="Calibri"/>
          <w:lang w:val="el-GR"/>
        </w:rPr>
        <w:t xml:space="preserve"> αλλά και προϋπόθεση για την προώθηση του νέου παραγωγικού μοντέλου της οικονομίας.</w:t>
      </w:r>
    </w:p>
    <w:p w14:paraId="591CB89D" w14:textId="77777777" w:rsidR="00746384" w:rsidRPr="00EE418E" w:rsidRDefault="00746384" w:rsidP="00746384">
      <w:pPr>
        <w:ind w:left="720"/>
        <w:jc w:val="both"/>
        <w:rPr>
          <w:rFonts w:cs="Calibri"/>
          <w:lang w:val="el-GR"/>
        </w:rPr>
      </w:pPr>
      <w:r w:rsidRPr="00EE418E">
        <w:rPr>
          <w:rFonts w:cs="Calibri"/>
          <w:lang w:val="el-GR"/>
        </w:rPr>
        <w:t xml:space="preserve">Όσον αφορά στην </w:t>
      </w:r>
      <w:r w:rsidRPr="00EE418E">
        <w:rPr>
          <w:rFonts w:cs="Calibri"/>
          <w:b/>
          <w:lang w:val="el-GR"/>
        </w:rPr>
        <w:t>τριτοβάθμια εκπαίδευση</w:t>
      </w:r>
      <w:r w:rsidRPr="00EE418E">
        <w:rPr>
          <w:rFonts w:cs="Calibri"/>
          <w:lang w:val="el-GR"/>
        </w:rPr>
        <w:t>, αν και το ποσοστό ολοκλήρωσης της φοίτησης είναι πολύ υψηλό, υπάρχει σχετικά χαμηλό ποσοστό πτυχιούχων στα πεδία που σχετίζονται περισσότερο με την καινοτομία. Από το</w:t>
      </w:r>
      <w:r w:rsidRPr="00EE418E">
        <w:rPr>
          <w:rFonts w:cs="Calibri"/>
          <w:b/>
          <w:lang w:val="el-GR"/>
        </w:rPr>
        <w:t xml:space="preserve"> 2016 οι τομείς των σπουδών και τα υφιστάμενα προγράμματα άρχισαν να αναθεωρούνται</w:t>
      </w:r>
      <w:r w:rsidRPr="00EE418E">
        <w:rPr>
          <w:rFonts w:cs="Calibri"/>
          <w:lang w:val="el-GR"/>
        </w:rPr>
        <w:t xml:space="preserve">, προσανατολισμένα στα αποτελέσματα της μάθησης και με βάση τις ενότητες μάθησης και τις μονάδες του ευρωπαϊκού συστήματος ακαδημαϊκών μονάδων. Η </w:t>
      </w:r>
      <w:r w:rsidRPr="00EE418E">
        <w:rPr>
          <w:rFonts w:cs="Calibri"/>
          <w:b/>
          <w:lang w:val="el-GR"/>
        </w:rPr>
        <w:t>βελτίωση της ποιότητας των προγραμμάτων σπουδών και των ιδρυμάτων της τριτοβάθμιας εκπαίδευσης</w:t>
      </w:r>
      <w:r w:rsidRPr="002D7B1C">
        <w:rPr>
          <w:rFonts w:cs="Calibri"/>
          <w:b/>
          <w:lang w:val="el-GR"/>
        </w:rPr>
        <w:t xml:space="preserve">, </w:t>
      </w:r>
      <w:r>
        <w:rPr>
          <w:rFonts w:cs="Calibri"/>
          <w:b/>
          <w:lang w:val="el-GR"/>
        </w:rPr>
        <w:t>συμπεριλαμβανομένης της καθιέρωσης της πρακτικής άσκησης σε επιχειρήσεις,</w:t>
      </w:r>
      <w:r w:rsidRPr="00EE418E">
        <w:rPr>
          <w:rFonts w:cs="Calibri"/>
          <w:b/>
          <w:lang w:val="el-GR"/>
        </w:rPr>
        <w:t xml:space="preserve"> συνεχίζει να αποτελεί πρόκληση</w:t>
      </w:r>
      <w:r w:rsidRPr="00EE418E">
        <w:rPr>
          <w:rFonts w:cs="Calibri"/>
          <w:lang w:val="el-GR"/>
        </w:rPr>
        <w:t xml:space="preserve">, ενώ το πλαίσιο Διασφάλισης και Πιστοποίησης Ποιότητας της Ανώτερης Εκπαίδευσης δεν έχει ακόμη τεθεί πλήρως σε εφαρμογή. </w:t>
      </w:r>
    </w:p>
    <w:p w14:paraId="3DE3544C" w14:textId="5B62E9B0" w:rsidR="00746384" w:rsidRPr="00EE418E" w:rsidRDefault="00746384" w:rsidP="00746384">
      <w:pPr>
        <w:ind w:left="720"/>
        <w:jc w:val="both"/>
        <w:rPr>
          <w:rFonts w:cs="Calibri"/>
          <w:lang w:val="el-GR"/>
        </w:rPr>
      </w:pPr>
      <w:r w:rsidRPr="00EE418E">
        <w:rPr>
          <w:rFonts w:cs="Calibri"/>
          <w:lang w:val="el-GR"/>
        </w:rPr>
        <w:t xml:space="preserve">Οι προαναφερόμενες </w:t>
      </w:r>
      <w:r>
        <w:rPr>
          <w:rFonts w:cs="Calibri"/>
          <w:lang w:val="el-GR"/>
        </w:rPr>
        <w:t>αδυναμίες</w:t>
      </w:r>
      <w:r w:rsidRPr="00EE418E">
        <w:rPr>
          <w:rFonts w:cs="Calibri"/>
          <w:lang w:val="el-GR"/>
        </w:rPr>
        <w:t xml:space="preserve"> συμβάλουν στη </w:t>
      </w:r>
      <w:r w:rsidRPr="00EE418E">
        <w:rPr>
          <w:rFonts w:cs="Calibri"/>
          <w:b/>
          <w:lang w:val="el-GR"/>
        </w:rPr>
        <w:t>διαιώνιση της αναντιστοιχίας δεξιοτήτων με τις ανάγκες της αγοράς εργασίας</w:t>
      </w:r>
      <w:r w:rsidR="00D0240E">
        <w:rPr>
          <w:rFonts w:cs="Calibri"/>
          <w:b/>
          <w:lang w:val="el-GR"/>
        </w:rPr>
        <w:t>,</w:t>
      </w:r>
      <w:r w:rsidRPr="00EE418E">
        <w:rPr>
          <w:rFonts w:cs="Calibri"/>
          <w:lang w:val="el-GR"/>
        </w:rPr>
        <w:t xml:space="preserve"> με αποτέλεσμα τα ποσοστά απασχόλησης να διαφέρουν σημαντικά </w:t>
      </w:r>
      <w:r w:rsidR="00D0240E">
        <w:rPr>
          <w:rFonts w:cs="Calibri"/>
          <w:lang w:val="el-GR"/>
        </w:rPr>
        <w:t>σε σχέση</w:t>
      </w:r>
      <w:r w:rsidRPr="00EE418E">
        <w:rPr>
          <w:rFonts w:cs="Calibri"/>
          <w:lang w:val="el-GR"/>
        </w:rPr>
        <w:t xml:space="preserve"> με το επίπεδο εκπαίδευσης</w:t>
      </w:r>
      <w:r w:rsidR="00D0240E">
        <w:rPr>
          <w:rStyle w:val="FootnoteReference"/>
          <w:rFonts w:cs="Calibri"/>
          <w:lang w:val="el-GR"/>
        </w:rPr>
        <w:footnoteReference w:id="8"/>
      </w:r>
      <w:r w:rsidRPr="00EE418E">
        <w:rPr>
          <w:rFonts w:cs="Calibri"/>
          <w:lang w:val="el-GR"/>
        </w:rPr>
        <w:t>. Για τα άτομα με προσόντα χαμηλότερου επιπέδου (</w:t>
      </w:r>
      <w:r w:rsidRPr="00EE418E">
        <w:rPr>
          <w:rFonts w:cs="Calibri"/>
        </w:rPr>
        <w:t>ISCED</w:t>
      </w:r>
      <w:r w:rsidRPr="00EE418E">
        <w:rPr>
          <w:rFonts w:cs="Calibri"/>
          <w:lang w:val="el-GR"/>
        </w:rPr>
        <w:t xml:space="preserve"> 0-2) το ποσοστό απασχόλησης ανήλθε το 2015 σε 55,5%, ελαφρώς πάνω από το μέσο όρο της Ε.Ε. Σε ότι αφορά στα άτομα με προσόντα μεσαίου επιπέδου (</w:t>
      </w:r>
      <w:r w:rsidRPr="00EE418E">
        <w:rPr>
          <w:rFonts w:cs="Calibri"/>
        </w:rPr>
        <w:t>ISCED</w:t>
      </w:r>
      <w:r w:rsidRPr="00EE418E">
        <w:rPr>
          <w:rFonts w:cs="Calibri"/>
          <w:lang w:val="el-GR"/>
        </w:rPr>
        <w:t xml:space="preserve"> 3-4), το </w:t>
      </w:r>
      <w:r w:rsidRPr="00EE418E">
        <w:rPr>
          <w:rFonts w:cs="Calibri"/>
          <w:lang w:val="el-GR"/>
        </w:rPr>
        <w:lastRenderedPageBreak/>
        <w:t>ποσοστό ήταν 69,4</w:t>
      </w:r>
      <w:r w:rsidR="00D0240E">
        <w:rPr>
          <w:rFonts w:cs="Calibri"/>
          <w:lang w:val="el-GR"/>
        </w:rPr>
        <w:t>%</w:t>
      </w:r>
      <w:r w:rsidRPr="00EE418E">
        <w:rPr>
          <w:rFonts w:cs="Calibri"/>
          <w:lang w:val="el-GR"/>
        </w:rPr>
        <w:t xml:space="preserve"> το 2015, ελαφρώς χαμηλότερο από το μέσο όρο. Σε ότι αφορά τα άτομα με προσόντα ανώτερου επιπέδου (</w:t>
      </w:r>
      <w:r w:rsidRPr="00EE418E">
        <w:rPr>
          <w:rFonts w:cs="Calibri"/>
        </w:rPr>
        <w:t>ISCED</w:t>
      </w:r>
      <w:r w:rsidRPr="00EE418E">
        <w:rPr>
          <w:rFonts w:cs="Calibri"/>
          <w:lang w:val="el-GR"/>
        </w:rPr>
        <w:t xml:space="preserve"> 5-8), το ποσοστό ήταν 80,2% το 2015, αλλά χαμηλότερο από το μέσο όρο της Ε.Ε. </w:t>
      </w:r>
      <w:r w:rsidRPr="00D0240E">
        <w:rPr>
          <w:rFonts w:cs="Calibri"/>
          <w:b/>
          <w:lang w:val="el-GR"/>
        </w:rPr>
        <w:t>Η Κύπρος είναι μία από τις χώρες με το υψηλότερο ποσοστό (35%) αποφοίτων τριτοβάθμιας εκπαίδευσης που εργάζονται σε επαγγέλματα</w:t>
      </w:r>
      <w:r w:rsidR="00D0240E" w:rsidRPr="00D0240E">
        <w:rPr>
          <w:rFonts w:cs="Calibri"/>
          <w:b/>
          <w:lang w:val="el-GR"/>
        </w:rPr>
        <w:t>,</w:t>
      </w:r>
      <w:r w:rsidRPr="00D0240E">
        <w:rPr>
          <w:rFonts w:cs="Calibri"/>
          <w:b/>
          <w:lang w:val="el-GR"/>
        </w:rPr>
        <w:t xml:space="preserve"> για τα οποία θεωρείται ότι δεν απαιτούνται πανεπιστημιακές γνώσεις.</w:t>
      </w:r>
      <w:r w:rsidRPr="00EE418E">
        <w:rPr>
          <w:rFonts w:cs="Calibri"/>
          <w:lang w:val="el-GR"/>
        </w:rPr>
        <w:t xml:space="preserve"> Σε αυτές τις περιπτώσεις</w:t>
      </w:r>
      <w:r w:rsidR="00D0240E">
        <w:rPr>
          <w:rFonts w:cs="Calibri"/>
          <w:lang w:val="el-GR"/>
        </w:rPr>
        <w:t>,</w:t>
      </w:r>
      <w:r w:rsidRPr="00EE418E">
        <w:rPr>
          <w:rFonts w:cs="Calibri"/>
          <w:lang w:val="el-GR"/>
        </w:rPr>
        <w:t xml:space="preserve"> η δυνατότητα της πανεπιστημιακής εκπαίδευσης να συμβάλει στην παραγωγικότητα, την τεχνολογική καινοτομία και την ανάπτυξη ενδέχεται να είναι ασθενέστερη από ότι εάν οι πτυχιούχοι εργάζονταν ως διευθυντικά στελέχη, τεχνικοί και ασκούντες </w:t>
      </w:r>
      <w:r w:rsidR="00D0240E">
        <w:rPr>
          <w:rFonts w:cs="Calibri"/>
          <w:lang w:val="el-GR"/>
        </w:rPr>
        <w:t xml:space="preserve">σε </w:t>
      </w:r>
      <w:r w:rsidRPr="00EE418E">
        <w:rPr>
          <w:rFonts w:cs="Calibri"/>
          <w:lang w:val="el-GR"/>
        </w:rPr>
        <w:t>συναφή επαγγέλματα.</w:t>
      </w:r>
    </w:p>
    <w:p w14:paraId="2604F8BC" w14:textId="7409B091" w:rsidR="00746384" w:rsidRPr="00EE418E" w:rsidRDefault="00746384" w:rsidP="00B52132">
      <w:pPr>
        <w:ind w:left="720"/>
        <w:jc w:val="both"/>
        <w:rPr>
          <w:rFonts w:cs="Calibri"/>
          <w:lang w:val="el-GR"/>
        </w:rPr>
      </w:pPr>
      <w:r w:rsidRPr="00EE418E">
        <w:rPr>
          <w:rFonts w:cs="Calibri"/>
          <w:lang w:val="el-GR"/>
        </w:rPr>
        <w:t xml:space="preserve">Η </w:t>
      </w:r>
      <w:r w:rsidRPr="00EE418E">
        <w:rPr>
          <w:rFonts w:cs="Calibri"/>
          <w:b/>
          <w:lang w:val="el-GR"/>
        </w:rPr>
        <w:t>μείωση που παρατηρείται στο επίπεδο της ανεργίας και η βελτίωση στην αγορά εργασίας δεν έχει προλάβει να αποτυπωθεί στους κοινωνικούς δείκτες</w:t>
      </w:r>
      <w:r w:rsidRPr="00EE418E">
        <w:rPr>
          <w:rFonts w:cs="Calibri"/>
          <w:lang w:val="el-GR"/>
        </w:rPr>
        <w:t>. Μετά από σχεδόν σταθερή πορεία από το 2012 έως το 2014, οι κοινωνικοί δείκτες χειροτέρευσαν το 2015</w:t>
      </w:r>
      <w:r w:rsidR="00D0240E">
        <w:rPr>
          <w:rFonts w:cs="Calibri"/>
          <w:lang w:val="el-GR"/>
        </w:rPr>
        <w:t>,</w:t>
      </w:r>
      <w:r w:rsidRPr="00EE418E">
        <w:rPr>
          <w:rFonts w:cs="Calibri"/>
          <w:lang w:val="el-GR"/>
        </w:rPr>
        <w:t xml:space="preserve"> λόγω της αύξησης του ποσοστού των ανθρώπων που διατρέχουν κίνδυνο φτώχειας (+1,5%) φτάνοντας το 28,9%</w:t>
      </w:r>
      <w:r w:rsidR="004B7629">
        <w:rPr>
          <w:rFonts w:cs="Calibri"/>
          <w:lang w:val="el-GR"/>
        </w:rPr>
        <w:t>,</w:t>
      </w:r>
      <w:r w:rsidRPr="00EE418E">
        <w:rPr>
          <w:rFonts w:cs="Calibri"/>
          <w:lang w:val="el-GR"/>
        </w:rPr>
        <w:t xml:space="preserve"> και είναι πλέον ένα από τα υψηλότερα στην Ε.Ε.</w:t>
      </w:r>
      <w:r w:rsidR="00F77DB3">
        <w:rPr>
          <w:rStyle w:val="FootnoteReference"/>
          <w:rFonts w:cs="Calibri"/>
          <w:lang w:val="el-GR"/>
        </w:rPr>
        <w:footnoteReference w:id="9"/>
      </w:r>
      <w:r w:rsidRPr="00EE418E">
        <w:rPr>
          <w:rFonts w:cs="Calibri"/>
          <w:lang w:val="el-GR"/>
        </w:rPr>
        <w:t xml:space="preserve"> </w:t>
      </w:r>
      <w:r w:rsidRPr="00EE418E">
        <w:rPr>
          <w:rFonts w:cs="Calibri"/>
          <w:b/>
          <w:lang w:val="el-GR"/>
        </w:rPr>
        <w:t>Το ποσοστό φτώχειας για τα ηλικιωμένα άτομα έχει μειωθεί σημαντικά (από 2014: 27,2% - 2015: 20,8%)</w:t>
      </w:r>
      <w:r w:rsidR="00D0240E">
        <w:rPr>
          <w:rFonts w:cs="Calibri"/>
          <w:b/>
          <w:lang w:val="el-GR"/>
        </w:rPr>
        <w:t>,</w:t>
      </w:r>
      <w:r w:rsidRPr="00EE418E">
        <w:rPr>
          <w:rFonts w:cs="Calibri"/>
          <w:b/>
          <w:lang w:val="el-GR"/>
        </w:rPr>
        <w:t xml:space="preserve"> αλλά το αντίστοιχο  ποσοστό για τα παιδιά έχει αυξηθεί από 24,6% το 2014 σε 29,2% το 2015. Η φτώχεια των εργαζομένων έχει </w:t>
      </w:r>
      <w:r w:rsidR="00D0240E">
        <w:rPr>
          <w:rFonts w:cs="Calibri"/>
          <w:b/>
          <w:lang w:val="el-GR"/>
        </w:rPr>
        <w:t xml:space="preserve">επίσης </w:t>
      </w:r>
      <w:r w:rsidRPr="00EE418E">
        <w:rPr>
          <w:rFonts w:cs="Calibri"/>
          <w:b/>
          <w:lang w:val="el-GR"/>
        </w:rPr>
        <w:t>αυξηθεί, λόγω του επισφαλούς χαρακτήρα της αγοράς εργασίας.</w:t>
      </w:r>
      <w:r w:rsidRPr="00EE418E">
        <w:rPr>
          <w:rFonts w:cs="Calibri"/>
          <w:lang w:val="el-GR"/>
        </w:rPr>
        <w:t xml:space="preserve"> Ο αριθμός των ατόμων που ζουν σε νοικοκυριά με πολύ χαμηλή ένταση εργασίας </w:t>
      </w:r>
      <w:r w:rsidR="00D0240E">
        <w:rPr>
          <w:rFonts w:cs="Calibri"/>
          <w:lang w:val="el-GR"/>
        </w:rPr>
        <w:t xml:space="preserve">αυξήθηκε </w:t>
      </w:r>
      <w:r w:rsidRPr="00EE418E">
        <w:rPr>
          <w:rFonts w:cs="Calibri"/>
          <w:lang w:val="el-GR"/>
        </w:rPr>
        <w:t xml:space="preserve">επίσης (2015: 10,9% έναντι 2014: 9,7%), </w:t>
      </w:r>
      <w:r w:rsidR="00D0240E">
        <w:rPr>
          <w:rFonts w:cs="Calibri"/>
          <w:lang w:val="el-GR"/>
        </w:rPr>
        <w:t xml:space="preserve">φτάνοντας </w:t>
      </w:r>
      <w:r w:rsidRPr="00EE418E">
        <w:rPr>
          <w:rFonts w:cs="Calibri"/>
          <w:lang w:val="el-GR"/>
        </w:rPr>
        <w:t>κοντά στο μέσο όρο της Ε.Ε. (2015: 10,5%). Επίσης, το ποσοστό φτώχειας ή κοινωνικού αποκλεισμού για τα παιδιά επιδεινώθηκε</w:t>
      </w:r>
      <w:r w:rsidR="00D0240E">
        <w:rPr>
          <w:rFonts w:cs="Calibri"/>
          <w:lang w:val="el-GR"/>
        </w:rPr>
        <w:t>,</w:t>
      </w:r>
      <w:r w:rsidRPr="00EE418E">
        <w:rPr>
          <w:rFonts w:cs="Calibri"/>
          <w:lang w:val="el-GR"/>
        </w:rPr>
        <w:t xml:space="preserve"> ενώ το χάσμα μεταξύ των φύλων στις συντάξεις είναι πολύ μεγάλο. Τα παραπάνω ενισχύουν τη διευρυνόμενη τάση της κοινωνικοοικονομική ανισότητας, καθώς αυτή αυξάνεται ταχέως κατά τα τελευταία έτη. Ο λόγος μεταξύ των εισοδημάτων του πλουσιότερου 20% προς το φτωχότερο 20% του πληθυσμού της Κύπρου αυξήθηκε σε 5,4% το 2014 από 4,4% το 2009, και στη συνέχεια μειώθηκε ελαφρώς το 2015</w:t>
      </w:r>
      <w:r w:rsidR="00F77DB3">
        <w:rPr>
          <w:rFonts w:cs="Calibri"/>
          <w:lang w:val="el-GR"/>
        </w:rPr>
        <w:t xml:space="preserve"> στο 5,2%</w:t>
      </w:r>
      <w:r w:rsidRPr="00EE418E">
        <w:rPr>
          <w:rFonts w:cs="Calibri"/>
          <w:lang w:val="el-GR"/>
        </w:rPr>
        <w:t xml:space="preserve">. Η </w:t>
      </w:r>
      <w:r w:rsidRPr="00EE418E">
        <w:rPr>
          <w:rFonts w:cs="Calibri"/>
          <w:b/>
          <w:lang w:val="el-GR"/>
        </w:rPr>
        <w:t>θέσπιση του ελάχιστου εγγυημένου εισοδήματος το 2014</w:t>
      </w:r>
      <w:r w:rsidRPr="00EE418E">
        <w:rPr>
          <w:rFonts w:cs="Calibri"/>
          <w:lang w:val="el-GR"/>
        </w:rPr>
        <w:t xml:space="preserve"> </w:t>
      </w:r>
      <w:r>
        <w:rPr>
          <w:rFonts w:cs="Calibri"/>
          <w:lang w:val="el-GR"/>
        </w:rPr>
        <w:t xml:space="preserve">και στη συνέχεια η διασύνδεσή του με τις ενεργητικές πολιτικές για την απασχόληση, </w:t>
      </w:r>
      <w:r w:rsidRPr="00EE418E">
        <w:rPr>
          <w:rFonts w:cs="Calibri"/>
          <w:lang w:val="el-GR"/>
        </w:rPr>
        <w:t>αναμένεται να καταστήσει το σύστημα πρόνοιας καλύτερα στοχοθετημένο και πιο συνεκτικό</w:t>
      </w:r>
      <w:r w:rsidR="00D0240E">
        <w:rPr>
          <w:rFonts w:cs="Calibri"/>
          <w:lang w:val="el-GR"/>
        </w:rPr>
        <w:t>,</w:t>
      </w:r>
      <w:r w:rsidRPr="00EE418E">
        <w:rPr>
          <w:rFonts w:cs="Calibri"/>
          <w:lang w:val="el-GR"/>
        </w:rPr>
        <w:t xml:space="preserve"> </w:t>
      </w:r>
      <w:r w:rsidR="00B52132" w:rsidRPr="00EE418E">
        <w:rPr>
          <w:rFonts w:cs="Calibri"/>
          <w:lang w:val="el-GR"/>
        </w:rPr>
        <w:t>συμβάλλοντας</w:t>
      </w:r>
      <w:r w:rsidRPr="00EE418E">
        <w:rPr>
          <w:rFonts w:cs="Calibri"/>
          <w:lang w:val="el-GR"/>
        </w:rPr>
        <w:t xml:space="preserve"> στη μείωση της έντασης της φτώχειας, όπως και η αναμενόμενη μείωση της ανεργίας.</w:t>
      </w:r>
    </w:p>
    <w:p w14:paraId="27C70230" w14:textId="77777777" w:rsidR="00746384" w:rsidRPr="00EE418E" w:rsidRDefault="00746384" w:rsidP="001D583B">
      <w:pPr>
        <w:numPr>
          <w:ilvl w:val="0"/>
          <w:numId w:val="37"/>
        </w:numPr>
        <w:jc w:val="both"/>
        <w:rPr>
          <w:rFonts w:cs="Calibri"/>
          <w:b/>
          <w:i/>
          <w:u w:val="single"/>
          <w:lang w:val="el-GR"/>
        </w:rPr>
      </w:pPr>
      <w:r w:rsidRPr="00EE418E">
        <w:rPr>
          <w:rFonts w:cs="Calibri"/>
          <w:b/>
          <w:i/>
          <w:u w:val="single"/>
          <w:lang w:val="el-GR"/>
        </w:rPr>
        <w:t>Προστασία και Αποδοτική Χρήση των Πόρων</w:t>
      </w:r>
    </w:p>
    <w:p w14:paraId="76041E6F" w14:textId="7B46D73D" w:rsidR="00B52132" w:rsidRPr="00EE418E" w:rsidRDefault="00746384" w:rsidP="00B52132">
      <w:pPr>
        <w:ind w:left="720"/>
        <w:jc w:val="both"/>
        <w:rPr>
          <w:rFonts w:cs="Calibri"/>
          <w:lang w:val="el-GR"/>
        </w:rPr>
      </w:pPr>
      <w:r w:rsidRPr="00EE418E">
        <w:rPr>
          <w:rFonts w:cs="Calibri"/>
          <w:lang w:val="el-GR"/>
        </w:rPr>
        <w:t xml:space="preserve">Οι </w:t>
      </w:r>
      <w:r w:rsidRPr="00EE418E">
        <w:rPr>
          <w:rFonts w:cs="Calibri"/>
          <w:b/>
          <w:lang w:val="el-GR"/>
        </w:rPr>
        <w:t>επενδύσεις περιβαλλοντικής προστασίας</w:t>
      </w:r>
      <w:r w:rsidRPr="00EE418E">
        <w:rPr>
          <w:rFonts w:cs="Calibri"/>
          <w:lang w:val="el-GR"/>
        </w:rPr>
        <w:t xml:space="preserve"> από ειδικευμένους φορείς παροχής υπηρεσιών στην Κύπρο είναι από τις υψηλότερες στην ΕΕ ως ποσοστό του ΑΕΠ, και τυγχάνουν στήριξης από κονδύλια της ΕΕ. Παρά τις υψηλές </w:t>
      </w:r>
      <w:r w:rsidRPr="00EE418E">
        <w:rPr>
          <w:rFonts w:cs="Calibri"/>
          <w:b/>
          <w:lang w:val="el-GR"/>
        </w:rPr>
        <w:t>περιβαλλοντικές επενδύσεις</w:t>
      </w:r>
      <w:r w:rsidRPr="00EE418E">
        <w:rPr>
          <w:rFonts w:cs="Calibri"/>
          <w:lang w:val="el-GR"/>
        </w:rPr>
        <w:t xml:space="preserve"> σε ορισμένους τομείς, η </w:t>
      </w:r>
      <w:r w:rsidRPr="00EE418E">
        <w:rPr>
          <w:rFonts w:cs="Calibri"/>
          <w:b/>
          <w:lang w:val="el-GR"/>
        </w:rPr>
        <w:t xml:space="preserve">συμμόρφωση με την περιβαλλοντική νομοθεσία </w:t>
      </w:r>
      <w:r>
        <w:rPr>
          <w:rFonts w:cs="Calibri"/>
          <w:b/>
          <w:lang w:val="el-GR"/>
        </w:rPr>
        <w:t>δεν έχει ολοκληρωθεί,</w:t>
      </w:r>
      <w:r w:rsidRPr="00EE418E">
        <w:rPr>
          <w:rFonts w:cs="Calibri"/>
          <w:lang w:val="el-GR"/>
        </w:rPr>
        <w:t xml:space="preserve"> </w:t>
      </w:r>
      <w:r>
        <w:rPr>
          <w:rFonts w:cs="Calibri"/>
          <w:b/>
          <w:lang w:val="el-GR"/>
        </w:rPr>
        <w:t xml:space="preserve">ιδιαίτερα στους τομείς </w:t>
      </w:r>
      <w:r w:rsidRPr="00EE418E">
        <w:rPr>
          <w:rFonts w:cs="Calibri"/>
          <w:b/>
          <w:lang w:val="el-GR"/>
        </w:rPr>
        <w:t>διαχείριση</w:t>
      </w:r>
      <w:r>
        <w:rPr>
          <w:rFonts w:cs="Calibri"/>
          <w:b/>
          <w:lang w:val="el-GR"/>
        </w:rPr>
        <w:t>ς των</w:t>
      </w:r>
      <w:r w:rsidRPr="00EE418E">
        <w:rPr>
          <w:rFonts w:cs="Calibri"/>
          <w:b/>
          <w:lang w:val="el-GR"/>
        </w:rPr>
        <w:t xml:space="preserve"> </w:t>
      </w:r>
      <w:r>
        <w:rPr>
          <w:rFonts w:cs="Calibri"/>
          <w:b/>
          <w:lang w:val="el-GR"/>
        </w:rPr>
        <w:t xml:space="preserve">στερεών και υγρών </w:t>
      </w:r>
      <w:r w:rsidRPr="00EE418E">
        <w:rPr>
          <w:rFonts w:cs="Calibri"/>
          <w:b/>
          <w:lang w:val="el-GR"/>
        </w:rPr>
        <w:t>αποβλήτων</w:t>
      </w:r>
      <w:r w:rsidRPr="00EE418E">
        <w:rPr>
          <w:rFonts w:cs="Calibri"/>
          <w:lang w:val="el-GR"/>
        </w:rPr>
        <w:t xml:space="preserve">, ενώ η </w:t>
      </w:r>
      <w:r w:rsidRPr="00EE418E">
        <w:rPr>
          <w:rFonts w:cs="Calibri"/>
          <w:b/>
          <w:lang w:val="el-GR"/>
        </w:rPr>
        <w:t>μείωση των εκπομπών αερίων θερμοκηπίου</w:t>
      </w:r>
      <w:r w:rsidRPr="00EE418E">
        <w:rPr>
          <w:rFonts w:cs="Calibri"/>
          <w:lang w:val="el-GR"/>
        </w:rPr>
        <w:t xml:space="preserve"> </w:t>
      </w:r>
      <w:r>
        <w:rPr>
          <w:rFonts w:cs="Calibri"/>
          <w:lang w:val="el-GR"/>
        </w:rPr>
        <w:t>δεν έχει φτάσει ακόμα στα επιθυμητά επίπεδα</w:t>
      </w:r>
      <w:r w:rsidRPr="00EE418E">
        <w:rPr>
          <w:rFonts w:cs="Calibri"/>
          <w:lang w:val="el-GR"/>
        </w:rPr>
        <w:t xml:space="preserve">. </w:t>
      </w:r>
      <w:r w:rsidRPr="00B55CB2">
        <w:rPr>
          <w:rFonts w:cs="Calibri"/>
          <w:lang w:val="el-GR"/>
        </w:rPr>
        <w:t>Η επιβολή της περιβαλλοντικής νομοθεσίας παραμένει χαμηλή, περιορίζοντας και τις δυνατότητες πράσινης ανάπτυξης. Η μετάβαση της Κύπρου προς μία πιο κυκλική οικονομία θα εξαρτηθεί από την ικανότητα της χώρας να απομακρυνθεί</w:t>
      </w:r>
      <w:r w:rsidRPr="00EE418E">
        <w:rPr>
          <w:rFonts w:cs="Calibri"/>
          <w:lang w:val="el-GR"/>
        </w:rPr>
        <w:t xml:space="preserve"> από την υγειονομική ταφή και τις μη βέλτιστες εναλλακτικές </w:t>
      </w:r>
      <w:r>
        <w:rPr>
          <w:rFonts w:cs="Calibri"/>
          <w:lang w:val="el-GR"/>
        </w:rPr>
        <w:t xml:space="preserve">μεθόδους </w:t>
      </w:r>
      <w:r w:rsidRPr="00EE418E">
        <w:rPr>
          <w:rFonts w:cs="Calibri"/>
          <w:lang w:val="el-GR"/>
        </w:rPr>
        <w:t>επεξεργασίας αποβλήτων, από</w:t>
      </w:r>
      <w:r>
        <w:rPr>
          <w:rFonts w:cs="Calibri"/>
          <w:lang w:val="el-GR"/>
        </w:rPr>
        <w:t xml:space="preserve"> </w:t>
      </w:r>
      <w:r w:rsidRPr="00EE418E">
        <w:rPr>
          <w:rFonts w:cs="Calibri"/>
          <w:lang w:val="el-GR"/>
        </w:rPr>
        <w:t xml:space="preserve">τη βελτίωση στη διαχείριση των υδάτινων πόρων, την επίτευξη του στόχου για τις εκπομπές αερίων του θερμοκηπίου το 2020, </w:t>
      </w:r>
      <w:r>
        <w:rPr>
          <w:rFonts w:cs="Calibri"/>
          <w:lang w:val="el-GR"/>
        </w:rPr>
        <w:t>καθώς και από</w:t>
      </w:r>
      <w:r w:rsidRPr="00EE418E">
        <w:rPr>
          <w:rFonts w:cs="Calibri"/>
          <w:lang w:val="el-GR"/>
        </w:rPr>
        <w:t xml:space="preserve"> την </w:t>
      </w:r>
      <w:r>
        <w:rPr>
          <w:rFonts w:cs="Calibri"/>
          <w:lang w:val="el-GR"/>
        </w:rPr>
        <w:t xml:space="preserve">περαιτέρω </w:t>
      </w:r>
      <w:r w:rsidRPr="00EE418E">
        <w:rPr>
          <w:rFonts w:cs="Calibri"/>
          <w:lang w:val="el-GR"/>
        </w:rPr>
        <w:lastRenderedPageBreak/>
        <w:t xml:space="preserve">προώθηση των ανανεώσιμων πηγών ενέργειας, της βέλτιστης ενεργειακής απόδοσης και των φιλικών προς το περιβάλλον τεχνολογιών. </w:t>
      </w:r>
    </w:p>
    <w:p w14:paraId="10EFC424" w14:textId="10CE5594" w:rsidR="00746384" w:rsidRPr="00EE418E" w:rsidRDefault="00746384" w:rsidP="00746384">
      <w:pPr>
        <w:ind w:left="720"/>
        <w:jc w:val="both"/>
        <w:rPr>
          <w:rFonts w:cs="Calibri"/>
          <w:lang w:val="el-GR"/>
        </w:rPr>
      </w:pPr>
      <w:r w:rsidRPr="00EE418E">
        <w:rPr>
          <w:rFonts w:cs="Calibri"/>
          <w:lang w:val="el-GR"/>
        </w:rPr>
        <w:t xml:space="preserve">Η </w:t>
      </w:r>
      <w:r w:rsidRPr="00EE418E">
        <w:rPr>
          <w:rFonts w:cs="Calibri"/>
          <w:b/>
          <w:lang w:val="el-GR"/>
        </w:rPr>
        <w:t>μεταρρύθμιση στον τομέα της ενέργειας</w:t>
      </w:r>
      <w:r w:rsidRPr="00EE418E">
        <w:rPr>
          <w:rFonts w:cs="Calibri"/>
          <w:lang w:val="el-GR"/>
        </w:rPr>
        <w:t xml:space="preserve"> </w:t>
      </w:r>
      <w:r w:rsidRPr="00EE418E">
        <w:rPr>
          <w:rFonts w:cs="Calibri"/>
          <w:b/>
          <w:lang w:val="el-GR"/>
        </w:rPr>
        <w:t xml:space="preserve">έχει σημειώσει </w:t>
      </w:r>
      <w:r>
        <w:rPr>
          <w:rFonts w:cs="Calibri"/>
          <w:b/>
          <w:lang w:val="el-GR"/>
        </w:rPr>
        <w:t>σχετικά</w:t>
      </w:r>
      <w:r w:rsidRPr="00EE418E">
        <w:rPr>
          <w:rFonts w:cs="Calibri"/>
          <w:b/>
          <w:lang w:val="el-GR"/>
        </w:rPr>
        <w:t xml:space="preserve"> μικρή πρόοδο</w:t>
      </w:r>
      <w:r w:rsidRPr="00EE418E">
        <w:rPr>
          <w:rFonts w:cs="Calibri"/>
          <w:lang w:val="el-GR"/>
        </w:rPr>
        <w:t xml:space="preserve">, δεδομένου ότι η Κύπρος εξακολουθεί να είναι </w:t>
      </w:r>
      <w:r w:rsidRPr="00EE418E">
        <w:rPr>
          <w:rFonts w:cs="Calibri"/>
          <w:b/>
          <w:lang w:val="el-GR"/>
        </w:rPr>
        <w:t>εξαρτημένη σε μεγάλο βαθμό από τα ορυκτά καύσιμα</w:t>
      </w:r>
      <w:r w:rsidRPr="00EE418E">
        <w:rPr>
          <w:rFonts w:cs="Calibri"/>
          <w:lang w:val="el-GR"/>
        </w:rPr>
        <w:t>. Ταυτόχρονα, το ενεργειακό μίγμα της Κύπρου εξαρτάται σε μεγάλο βαθμό από τις εισαγωγές πετρελαίου</w:t>
      </w:r>
      <w:r>
        <w:rPr>
          <w:rFonts w:cs="Calibri"/>
          <w:lang w:val="el-GR"/>
        </w:rPr>
        <w:t>,</w:t>
      </w:r>
      <w:r w:rsidRPr="00EE418E">
        <w:rPr>
          <w:rFonts w:cs="Calibri"/>
          <w:lang w:val="el-GR"/>
        </w:rPr>
        <w:t xml:space="preserve"> καθώς δεν έχει σημειωθεί πρόοδος στο σχεδιασμό λύσης που θα επιτρέπει την εισαγωγή φυσικού αερίου στη χώρα έως το 2020. </w:t>
      </w:r>
    </w:p>
    <w:p w14:paraId="59444EA7" w14:textId="66B514A4" w:rsidR="00746384" w:rsidRPr="00EE418E" w:rsidRDefault="00746384" w:rsidP="00746384">
      <w:pPr>
        <w:ind w:left="720"/>
        <w:jc w:val="both"/>
        <w:rPr>
          <w:rFonts w:cs="Calibri"/>
          <w:lang w:val="el-GR"/>
        </w:rPr>
      </w:pPr>
      <w:r w:rsidRPr="00EE418E">
        <w:rPr>
          <w:rFonts w:cs="Calibri"/>
          <w:lang w:val="el-GR"/>
        </w:rPr>
        <w:t xml:space="preserve">Επιπλέον, </w:t>
      </w:r>
      <w:r>
        <w:rPr>
          <w:rFonts w:cs="Calibri"/>
          <w:lang w:val="el-GR"/>
        </w:rPr>
        <w:t>η ανάπτυξη των</w:t>
      </w:r>
      <w:r w:rsidRPr="00EE418E">
        <w:rPr>
          <w:rFonts w:cs="Calibri"/>
          <w:lang w:val="el-GR"/>
        </w:rPr>
        <w:t xml:space="preserve"> </w:t>
      </w:r>
      <w:r w:rsidRPr="00EE418E">
        <w:rPr>
          <w:rFonts w:cs="Calibri"/>
          <w:b/>
          <w:lang w:val="el-GR"/>
        </w:rPr>
        <w:t>δημόσι</w:t>
      </w:r>
      <w:r>
        <w:rPr>
          <w:rFonts w:cs="Calibri"/>
          <w:b/>
          <w:lang w:val="el-GR"/>
        </w:rPr>
        <w:t>ων μέσων</w:t>
      </w:r>
      <w:r w:rsidRPr="00EE418E">
        <w:rPr>
          <w:rFonts w:cs="Calibri"/>
          <w:b/>
          <w:lang w:val="el-GR"/>
        </w:rPr>
        <w:t xml:space="preserve"> μεταφορ</w:t>
      </w:r>
      <w:r>
        <w:rPr>
          <w:rFonts w:cs="Calibri"/>
          <w:b/>
          <w:lang w:val="el-GR"/>
        </w:rPr>
        <w:t>άς</w:t>
      </w:r>
      <w:r w:rsidRPr="00EE418E">
        <w:rPr>
          <w:rFonts w:cs="Calibri"/>
          <w:lang w:val="el-GR"/>
        </w:rPr>
        <w:t xml:space="preserve"> </w:t>
      </w:r>
      <w:r>
        <w:rPr>
          <w:rFonts w:cs="Calibri"/>
          <w:lang w:val="el-GR"/>
        </w:rPr>
        <w:t>είναι περιορισμένη,</w:t>
      </w:r>
      <w:r w:rsidRPr="00EE418E">
        <w:rPr>
          <w:rFonts w:cs="Calibri"/>
          <w:lang w:val="el-GR"/>
        </w:rPr>
        <w:t xml:space="preserve"> γεγονός που ενισχύει τον υψηλό βαθμό εξάρτησης από τις ιδιωτικές οδικές μεταφορές. Η Κύπρος έχει ένα από τα υψηλότερα ποσοστά ιδιόκτητων αυτοκινήτων στον κόσμο (600 αυτοκίνητα ανά 1.000 κατοίκους), αν και η πυκνότητα της κυκλοφορίας επιβατών είναι χαμηλότερη από το μέσο όρο της Ε.Ε.</w:t>
      </w:r>
    </w:p>
    <w:p w14:paraId="2C8A31A3" w14:textId="48078E32" w:rsidR="000B5993" w:rsidRPr="00EE418E" w:rsidRDefault="00746384" w:rsidP="00746384">
      <w:pPr>
        <w:ind w:left="720"/>
        <w:jc w:val="both"/>
        <w:rPr>
          <w:rFonts w:cs="Calibri"/>
          <w:lang w:val="el-GR"/>
        </w:rPr>
      </w:pPr>
      <w:r>
        <w:rPr>
          <w:rFonts w:cs="Calibri"/>
          <w:lang w:val="el-GR"/>
        </w:rPr>
        <w:t>Ως</w:t>
      </w:r>
      <w:r w:rsidRPr="00EE418E">
        <w:rPr>
          <w:rFonts w:cs="Calibri"/>
          <w:lang w:val="el-GR"/>
        </w:rPr>
        <w:t xml:space="preserve"> αποτέλεσμα, </w:t>
      </w:r>
      <w:r w:rsidRPr="00EE418E">
        <w:rPr>
          <w:rFonts w:cs="Calibri"/>
          <w:b/>
          <w:lang w:val="el-GR"/>
        </w:rPr>
        <w:t>η αποδοτικότητα των πόρων είναι χαμηλότερη από το μέσο όρο της Ε.Ε.</w:t>
      </w:r>
      <w:r w:rsidRPr="00EE418E">
        <w:rPr>
          <w:rFonts w:cs="Calibri"/>
          <w:lang w:val="el-GR"/>
        </w:rPr>
        <w:t xml:space="preserve"> ενώ δεν έχουν ληφθεί ακόμα μέτρα για να διασφαλιστεί η συνεχής συμμόρφωση με την οδηγία περί βιομηχανικών εκπομπών</w:t>
      </w:r>
      <w:r>
        <w:rPr>
          <w:rFonts w:cs="Calibri"/>
          <w:lang w:val="el-GR"/>
        </w:rPr>
        <w:t>,</w:t>
      </w:r>
      <w:r w:rsidRPr="00EE418E">
        <w:rPr>
          <w:rFonts w:cs="Calibri"/>
          <w:lang w:val="el-GR"/>
        </w:rPr>
        <w:t xml:space="preserve"> όταν λήξουν οι τρέχουσες παρεκκλίσεις. </w:t>
      </w:r>
      <w:r w:rsidRPr="00EE418E">
        <w:rPr>
          <w:rFonts w:cs="Calibri"/>
          <w:b/>
          <w:lang w:val="el-GR"/>
        </w:rPr>
        <w:t xml:space="preserve">Οι μεταρρυθμίσεις στον τομέα της ενέργειας στοχεύουν στο να αυξήσουν </w:t>
      </w:r>
      <w:r>
        <w:rPr>
          <w:rFonts w:cs="Calibri"/>
          <w:b/>
          <w:lang w:val="el-GR"/>
        </w:rPr>
        <w:t xml:space="preserve">τόσο </w:t>
      </w:r>
      <w:r w:rsidRPr="00EE418E">
        <w:rPr>
          <w:rFonts w:cs="Calibri"/>
          <w:b/>
          <w:lang w:val="el-GR"/>
        </w:rPr>
        <w:t xml:space="preserve">την ενεργειακή απόδοση μέσω της διαφοροποίησης του ενεργειακού μίγματος, </w:t>
      </w:r>
      <w:r>
        <w:rPr>
          <w:rFonts w:cs="Calibri"/>
          <w:b/>
          <w:lang w:val="el-GR"/>
        </w:rPr>
        <w:t>όσο και την εξοικονόμηση ενέργειας τόσο στον ευρύτερο δημόσιο τομέα (κεντρική κυβέρνηση, αρχές τοπικής αυτοδιοίκησης κ.λπ.) όσο και στον ιδιωτικό τομέα (επιχειρήσεις, νοικοκυριά)</w:t>
      </w:r>
      <w:r w:rsidRPr="00EE418E">
        <w:rPr>
          <w:rFonts w:cs="Calibri"/>
          <w:lang w:val="el-GR"/>
        </w:rPr>
        <w:t>.</w:t>
      </w:r>
    </w:p>
    <w:bookmarkEnd w:id="7"/>
    <w:p w14:paraId="4C9F134E" w14:textId="77777777" w:rsidR="00EE418E" w:rsidRDefault="00EE418E" w:rsidP="00392E71">
      <w:pPr>
        <w:spacing w:after="0" w:line="240" w:lineRule="auto"/>
        <w:jc w:val="both"/>
        <w:rPr>
          <w:rFonts w:cs="Calibri"/>
          <w:lang w:val="el-GR"/>
        </w:rPr>
      </w:pPr>
    </w:p>
    <w:p w14:paraId="0DB4700E" w14:textId="06C9D815" w:rsidR="009C5C98" w:rsidRPr="00B95BD2" w:rsidRDefault="009C5C98" w:rsidP="00752536">
      <w:pPr>
        <w:jc w:val="both"/>
        <w:rPr>
          <w:rFonts w:cs="Calibri"/>
          <w:b/>
          <w:i/>
          <w:lang w:val="el-GR"/>
        </w:rPr>
      </w:pPr>
      <w:r w:rsidRPr="00B95BD2">
        <w:rPr>
          <w:rFonts w:cs="Calibri"/>
          <w:b/>
          <w:i/>
          <w:lang w:val="el-GR"/>
        </w:rPr>
        <w:t>β)  Άλλα στοιχεία, κατά περίπτωση.</w:t>
      </w:r>
      <w:bookmarkEnd w:id="8"/>
    </w:p>
    <w:p w14:paraId="08735D3F" w14:textId="53D19C5E" w:rsidR="00B95BD2" w:rsidRDefault="00B95BD2" w:rsidP="00752536">
      <w:pPr>
        <w:jc w:val="both"/>
        <w:rPr>
          <w:rFonts w:cs="Calibri"/>
          <w:lang w:val="el-GR"/>
        </w:rPr>
      </w:pPr>
      <w:r>
        <w:rPr>
          <w:rFonts w:cs="Calibri"/>
          <w:lang w:val="el-GR"/>
        </w:rPr>
        <w:t>Δεν εφαρμόζεται.</w:t>
      </w:r>
    </w:p>
    <w:p w14:paraId="5E3B7EF5" w14:textId="77777777" w:rsidR="009C5C98" w:rsidRPr="009C5C98" w:rsidRDefault="00EE418E" w:rsidP="001D583B">
      <w:pPr>
        <w:pStyle w:val="Heading1"/>
        <w:numPr>
          <w:ilvl w:val="0"/>
          <w:numId w:val="7"/>
        </w:numPr>
        <w:ind w:left="426"/>
        <w:rPr>
          <w:rFonts w:ascii="Calibri" w:hAnsi="Calibri" w:cs="Calibri"/>
          <w:caps/>
          <w:smallCaps w:val="0"/>
          <w:lang w:val="el-GR"/>
        </w:rPr>
      </w:pPr>
      <w:bookmarkStart w:id="10" w:name="_Toc483572190"/>
      <w:r>
        <w:rPr>
          <w:rFonts w:ascii="Calibri" w:hAnsi="Calibri" w:cs="Calibri"/>
          <w:caps/>
          <w:smallCaps w:val="0"/>
          <w:lang w:val="el-GR"/>
        </w:rPr>
        <w:br w:type="page"/>
      </w:r>
      <w:r w:rsidR="009C5C98" w:rsidRPr="009C5C98">
        <w:rPr>
          <w:rFonts w:ascii="Calibri" w:hAnsi="Calibri" w:cs="Calibri"/>
          <w:caps/>
          <w:smallCaps w:val="0"/>
          <w:lang w:val="el-GR"/>
        </w:rPr>
        <w:lastRenderedPageBreak/>
        <w:t>Πρόοδος προς την επίτευξη της στρατηγικής της Ένωσης για μια έξυπνη, διατηρήσιμη και χωρίς αποκλεισμούς ανάπτυξη, καθώς και των ειδικών ανά ταμείο αποστόλων, μέσω της συμβολής των ΕΔΕΤ στους επιλεγμένους θεματικούς στόχους, ιδίως όσον άφορα τα καθορισθέντα ορόσημα στο πλαίσιο επιδόσεων για κάθε πρόγραμμα και τη στήριξη που χρησιμοποιήθηκε για τους στόχους της κλιματικής αλλαγής</w:t>
      </w:r>
      <w:r w:rsidR="009C5C98">
        <w:rPr>
          <w:rStyle w:val="FootnoteReference"/>
          <w:rFonts w:ascii="Calibri" w:hAnsi="Calibri" w:cs="Calibri"/>
          <w:caps/>
          <w:smallCaps w:val="0"/>
          <w:lang w:val="el-GR"/>
        </w:rPr>
        <w:footnoteReference w:id="10"/>
      </w:r>
      <w:bookmarkEnd w:id="10"/>
    </w:p>
    <w:p w14:paraId="2B826DD9" w14:textId="77777777" w:rsidR="00845790" w:rsidRDefault="00845790" w:rsidP="002D7E01">
      <w:pPr>
        <w:autoSpaceDE w:val="0"/>
        <w:autoSpaceDN w:val="0"/>
        <w:adjustRightInd w:val="0"/>
        <w:spacing w:after="0" w:line="240" w:lineRule="auto"/>
        <w:jc w:val="both"/>
        <w:rPr>
          <w:rFonts w:eastAsia="TimesNewRomanPSMT" w:cs="Calibri"/>
          <w:b/>
          <w:lang w:val="el-GR"/>
        </w:rPr>
      </w:pPr>
    </w:p>
    <w:p w14:paraId="45BCE670" w14:textId="77777777" w:rsidR="00845790" w:rsidRPr="00BA68CD" w:rsidRDefault="00845790" w:rsidP="002D7E01">
      <w:pPr>
        <w:autoSpaceDE w:val="0"/>
        <w:autoSpaceDN w:val="0"/>
        <w:adjustRightInd w:val="0"/>
        <w:spacing w:after="0" w:line="240" w:lineRule="auto"/>
        <w:jc w:val="both"/>
        <w:rPr>
          <w:rFonts w:eastAsia="TimesNewRomanPSMT" w:cs="Calibri"/>
          <w:b/>
          <w:i/>
          <w:lang w:val="el-GR"/>
        </w:rPr>
      </w:pPr>
      <w:r w:rsidRPr="00BA68CD">
        <w:rPr>
          <w:rFonts w:eastAsia="TimesNewRomanPSMT" w:cs="Calibri"/>
          <w:b/>
          <w:i/>
          <w:lang w:val="el-GR"/>
        </w:rPr>
        <w:t>α) Περιγραφή και αξιολόγηση της προόδου που σημειώθηκε όσον αφορά την επίτευξη των εθνικών στόχων τ</w:t>
      </w:r>
      <w:r w:rsidR="007D727B" w:rsidRPr="00BA68CD">
        <w:rPr>
          <w:rFonts w:eastAsia="TimesNewRomanPSMT" w:cs="Calibri"/>
          <w:b/>
          <w:i/>
          <w:lang w:val="el-GR"/>
        </w:rPr>
        <w:t>ης στρατηγικής «Ευρώπη 2020»</w:t>
      </w:r>
      <w:r w:rsidRPr="00BA68CD">
        <w:rPr>
          <w:rFonts w:eastAsia="TimesNewRomanPSMT" w:cs="Calibri"/>
          <w:b/>
          <w:i/>
          <w:lang w:val="el-GR"/>
        </w:rPr>
        <w:t xml:space="preserve"> και της συμβολής των ΕΔΕΤ προς τον σκοπό αυτό, με αναφορά στα καθορισθέντα ορόσημα στο πλαίσιο επιδόσεων και στη στήριξη που χρησιμοποιήθηκε για τους στόχους της κλιματικής αλλαγής, κατά περίπτωση.</w:t>
      </w:r>
    </w:p>
    <w:p w14:paraId="7AE130E6" w14:textId="77777777" w:rsidR="00845790" w:rsidRDefault="00845790" w:rsidP="002D7E01">
      <w:pPr>
        <w:autoSpaceDE w:val="0"/>
        <w:autoSpaceDN w:val="0"/>
        <w:adjustRightInd w:val="0"/>
        <w:spacing w:after="0" w:line="240" w:lineRule="auto"/>
        <w:jc w:val="both"/>
        <w:rPr>
          <w:rFonts w:eastAsia="TimesNewRomanPSMT" w:cs="Calibri"/>
          <w:lang w:val="el-GR"/>
        </w:rPr>
      </w:pPr>
    </w:p>
    <w:p w14:paraId="2C1DDC12" w14:textId="29C34EB9" w:rsidR="00496867" w:rsidRPr="00496867" w:rsidRDefault="00496867" w:rsidP="00496867">
      <w:pPr>
        <w:jc w:val="both"/>
        <w:rPr>
          <w:rFonts w:cs="Calibri"/>
          <w:iCs/>
          <w:color w:val="000000"/>
          <w:lang w:val="el-GR"/>
        </w:rPr>
      </w:pPr>
      <w:r w:rsidRPr="00496867">
        <w:rPr>
          <w:rFonts w:cs="Calibri"/>
          <w:iCs/>
          <w:color w:val="000000"/>
          <w:lang w:val="el-GR"/>
        </w:rPr>
        <w:t xml:space="preserve">Στο πλαίσιο της </w:t>
      </w:r>
      <w:r w:rsidRPr="00496867">
        <w:rPr>
          <w:rFonts w:cs="Calibri"/>
          <w:b/>
          <w:iCs/>
          <w:color w:val="000000"/>
          <w:lang w:val="el-GR"/>
        </w:rPr>
        <w:t xml:space="preserve">στρατηγικής «Ευρώπης 2020», </w:t>
      </w:r>
      <w:r w:rsidRPr="00496867">
        <w:rPr>
          <w:rFonts w:cs="Calibri"/>
          <w:iCs/>
          <w:color w:val="000000"/>
          <w:lang w:val="el-GR"/>
        </w:rPr>
        <w:t xml:space="preserve">οι </w:t>
      </w:r>
      <w:r w:rsidRPr="00496867">
        <w:rPr>
          <w:rFonts w:cs="Calibri"/>
          <w:b/>
          <w:iCs/>
          <w:color w:val="000000"/>
          <w:lang w:val="el-GR"/>
        </w:rPr>
        <w:t xml:space="preserve">περισσότεροι </w:t>
      </w:r>
      <w:r w:rsidR="00BA68CD">
        <w:rPr>
          <w:rFonts w:cs="Calibri"/>
          <w:b/>
          <w:iCs/>
          <w:color w:val="000000"/>
          <w:lang w:val="el-GR"/>
        </w:rPr>
        <w:t>από τους Θεματικούς Στόχους</w:t>
      </w:r>
      <w:r w:rsidRPr="00496867">
        <w:rPr>
          <w:rFonts w:cs="Calibri"/>
          <w:iCs/>
          <w:color w:val="000000"/>
          <w:lang w:val="el-GR"/>
        </w:rPr>
        <w:t xml:space="preserve"> που έχουν επιλεγεί να χρηματοδοτηθούν κατά την Προγραμματική Περίοδο 2014-2020 </w:t>
      </w:r>
      <w:r w:rsidRPr="00496867">
        <w:rPr>
          <w:rFonts w:cs="Calibri"/>
          <w:b/>
          <w:iCs/>
          <w:color w:val="000000"/>
          <w:lang w:val="el-GR"/>
        </w:rPr>
        <w:t>συμβάλουν στην επίτευξη των εθνικών στόχων της Κύπρου</w:t>
      </w:r>
      <w:r w:rsidRPr="00496867">
        <w:rPr>
          <w:rFonts w:cs="Calibri"/>
          <w:iCs/>
          <w:color w:val="000000"/>
          <w:lang w:val="el-GR"/>
        </w:rPr>
        <w:t>. Ο πίνακας που ακολουθεί συνοψίζει τη συσχέτιση μεταξύ τους</w:t>
      </w:r>
      <w:r w:rsidR="000B4CD0">
        <w:rPr>
          <w:rFonts w:cs="Calibri"/>
          <w:iCs/>
          <w:color w:val="000000"/>
          <w:lang w:val="el-GR"/>
        </w:rPr>
        <w:t>, καθώς</w:t>
      </w:r>
      <w:r w:rsidRPr="00496867">
        <w:rPr>
          <w:rFonts w:cs="Calibri"/>
          <w:iCs/>
          <w:color w:val="000000"/>
          <w:lang w:val="el-GR"/>
        </w:rPr>
        <w:t xml:space="preserve"> και την </w:t>
      </w:r>
      <w:r w:rsidRPr="00496867">
        <w:rPr>
          <w:rFonts w:cs="Calibri"/>
          <w:b/>
          <w:iCs/>
          <w:color w:val="000000"/>
          <w:lang w:val="el-GR"/>
        </w:rPr>
        <w:t xml:space="preserve">εξέλιξη σχετικά με την επίτευξη των εθνικών στόχων της Κύπρου στο πλαίσιο της στρατηγικής «Ευρώπη 2020», </w:t>
      </w:r>
      <w:r w:rsidRPr="000B4CD0">
        <w:rPr>
          <w:rFonts w:cs="Calibri"/>
          <w:iCs/>
          <w:color w:val="000000"/>
          <w:lang w:val="el-GR"/>
        </w:rPr>
        <w:t xml:space="preserve">σύμφωνα με τα τελευταία διαθέσιμα στοιχεία της </w:t>
      </w:r>
      <w:r w:rsidRPr="000B4CD0">
        <w:rPr>
          <w:rFonts w:cs="Calibri"/>
          <w:iCs/>
          <w:color w:val="000000"/>
        </w:rPr>
        <w:t>Eurostat</w:t>
      </w:r>
      <w:r w:rsidRPr="000B4CD0">
        <w:rPr>
          <w:rFonts w:cs="Calibri"/>
          <w:iCs/>
          <w:color w:val="000000"/>
          <w:lang w:val="el-GR"/>
        </w:rPr>
        <w:t>:</w:t>
      </w:r>
    </w:p>
    <w:p w14:paraId="10906367" w14:textId="77777777" w:rsidR="00496867" w:rsidRPr="00496867" w:rsidRDefault="00496867" w:rsidP="00496867">
      <w:pPr>
        <w:spacing w:before="240"/>
        <w:jc w:val="both"/>
        <w:rPr>
          <w:rFonts w:cs="Calibri"/>
          <w:iCs/>
          <w:color w:val="000000"/>
          <w:lang w:val="el-GR"/>
        </w:rPr>
      </w:pPr>
    </w:p>
    <w:p w14:paraId="0E421720" w14:textId="77777777" w:rsidR="00496867" w:rsidRPr="00496867" w:rsidRDefault="00496867" w:rsidP="00496867">
      <w:pPr>
        <w:spacing w:before="240"/>
        <w:jc w:val="both"/>
        <w:rPr>
          <w:rFonts w:cs="Calibri"/>
          <w:iCs/>
          <w:color w:val="000000"/>
          <w:lang w:val="el-GR"/>
        </w:rPr>
        <w:sectPr w:rsidR="00496867" w:rsidRPr="00496867" w:rsidSect="00B52132">
          <w:footerReference w:type="default" r:id="rId13"/>
          <w:pgSz w:w="12240" w:h="15840" w:code="1"/>
          <w:pgMar w:top="1134" w:right="1418" w:bottom="1134" w:left="1418" w:header="454" w:footer="454" w:gutter="0"/>
          <w:cols w:space="708"/>
          <w:docGrid w:linePitch="360"/>
        </w:sectPr>
      </w:pPr>
    </w:p>
    <w:p w14:paraId="187DDCA7" w14:textId="77777777" w:rsidR="00496867" w:rsidRPr="00496867" w:rsidRDefault="00496867" w:rsidP="00496867">
      <w:pPr>
        <w:spacing w:before="240"/>
        <w:jc w:val="both"/>
        <w:rPr>
          <w:rFonts w:cs="Calibri"/>
          <w:iCs/>
          <w:color w:val="000000"/>
          <w:lang w:val="el-GR"/>
        </w:rPr>
      </w:pPr>
    </w:p>
    <w:tbl>
      <w:tblPr>
        <w:tblW w:w="5059" w:type="pct"/>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474"/>
        <w:gridCol w:w="1359"/>
        <w:gridCol w:w="1038"/>
        <w:gridCol w:w="1038"/>
        <w:gridCol w:w="1038"/>
        <w:gridCol w:w="1038"/>
        <w:gridCol w:w="1038"/>
        <w:gridCol w:w="1038"/>
        <w:gridCol w:w="1038"/>
        <w:gridCol w:w="1038"/>
      </w:tblGrid>
      <w:tr w:rsidR="00496867" w:rsidRPr="00496867" w14:paraId="1991BF94" w14:textId="77777777" w:rsidTr="000B4CD0">
        <w:trPr>
          <w:tblHeader/>
          <w:jc w:val="center"/>
        </w:trPr>
        <w:tc>
          <w:tcPr>
            <w:tcW w:w="1321"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2F86A4B9" w14:textId="77777777" w:rsidR="00496867" w:rsidRPr="00496867" w:rsidRDefault="00496867" w:rsidP="00496867">
            <w:pPr>
              <w:spacing w:after="0" w:line="240" w:lineRule="auto"/>
              <w:contextualSpacing/>
              <w:jc w:val="center"/>
              <w:rPr>
                <w:rFonts w:cs="Calibri"/>
                <w:b/>
                <w:bCs/>
                <w:iCs/>
                <w:sz w:val="20"/>
                <w:szCs w:val="20"/>
                <w:lang w:val="el-GR"/>
              </w:rPr>
            </w:pPr>
            <w:bookmarkStart w:id="11" w:name="_Hlk487734020"/>
            <w:r w:rsidRPr="00496867">
              <w:rPr>
                <w:rFonts w:cs="Calibri"/>
                <w:b/>
                <w:bCs/>
                <w:iCs/>
                <w:sz w:val="20"/>
                <w:szCs w:val="20"/>
                <w:lang w:val="el-GR"/>
              </w:rPr>
              <w:t>Σ</w:t>
            </w:r>
            <w:r w:rsidR="000B4CD0">
              <w:rPr>
                <w:rFonts w:cs="Calibri"/>
                <w:b/>
                <w:bCs/>
                <w:iCs/>
                <w:sz w:val="20"/>
                <w:szCs w:val="20"/>
                <w:lang w:val="el-GR"/>
              </w:rPr>
              <w:t xml:space="preserve">ΤΟΧΟΙ ΣΤΡΑΤΗΓΙΚΗΣ ΕΥΡΩΠΗ 2020 </w:t>
            </w:r>
            <w:r w:rsidRPr="00496867">
              <w:rPr>
                <w:rFonts w:cs="Calibri"/>
                <w:b/>
                <w:bCs/>
                <w:iCs/>
                <w:sz w:val="20"/>
                <w:szCs w:val="20"/>
                <w:lang w:val="el-GR"/>
              </w:rPr>
              <w:t>/</w:t>
            </w:r>
          </w:p>
          <w:p w14:paraId="5B6A0D92" w14:textId="77777777" w:rsidR="00496867" w:rsidRPr="00496867" w:rsidRDefault="000B4CD0" w:rsidP="00496867">
            <w:pPr>
              <w:spacing w:after="0" w:line="240" w:lineRule="auto"/>
              <w:contextualSpacing/>
              <w:jc w:val="center"/>
              <w:rPr>
                <w:rFonts w:cs="Calibri"/>
                <w:b/>
                <w:bCs/>
                <w:iCs/>
                <w:sz w:val="20"/>
                <w:szCs w:val="20"/>
                <w:lang w:val="el-GR"/>
              </w:rPr>
            </w:pPr>
            <w:r>
              <w:rPr>
                <w:rFonts w:cs="Calibri"/>
                <w:b/>
                <w:bCs/>
                <w:iCs/>
                <w:sz w:val="20"/>
                <w:szCs w:val="20"/>
                <w:lang w:val="el-GR"/>
              </w:rPr>
              <w:t>ΣΧΕΤΙΚΟΣ ΘΕΜΑΤΙΚΟΣ ΣΤΟΧΟΣ (Θ.Σ.)</w:t>
            </w:r>
          </w:p>
        </w:tc>
        <w:tc>
          <w:tcPr>
            <w:tcW w:w="517"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0E977501" w14:textId="77777777" w:rsidR="00496867" w:rsidRPr="00496867" w:rsidRDefault="00496867" w:rsidP="00496867">
            <w:pPr>
              <w:spacing w:after="0" w:line="240" w:lineRule="auto"/>
              <w:contextualSpacing/>
              <w:jc w:val="center"/>
              <w:rPr>
                <w:rFonts w:cs="Calibri"/>
                <w:b/>
                <w:bCs/>
                <w:iCs/>
                <w:sz w:val="20"/>
                <w:szCs w:val="20"/>
                <w:lang w:val="el-GR"/>
              </w:rPr>
            </w:pPr>
            <w:r w:rsidRPr="00496867">
              <w:rPr>
                <w:rFonts w:cs="Calibri"/>
                <w:b/>
                <w:bCs/>
                <w:iCs/>
                <w:sz w:val="20"/>
                <w:szCs w:val="20"/>
                <w:lang w:val="el-GR"/>
              </w:rPr>
              <w:t>Στόχος Ε.Ε.</w:t>
            </w:r>
          </w:p>
        </w:tc>
        <w:tc>
          <w:tcPr>
            <w:tcW w:w="395"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63706E78" w14:textId="77777777" w:rsidR="00496867" w:rsidRPr="00496867" w:rsidRDefault="00496867" w:rsidP="00496867">
            <w:pPr>
              <w:spacing w:after="0" w:line="240" w:lineRule="auto"/>
              <w:contextualSpacing/>
              <w:jc w:val="center"/>
              <w:rPr>
                <w:rFonts w:cs="Calibri"/>
                <w:b/>
                <w:bCs/>
                <w:iCs/>
                <w:sz w:val="20"/>
                <w:szCs w:val="20"/>
                <w:lang w:val="el-GR"/>
              </w:rPr>
            </w:pPr>
            <w:r w:rsidRPr="00496867">
              <w:rPr>
                <w:rFonts w:cs="Calibri"/>
                <w:b/>
                <w:bCs/>
                <w:iCs/>
                <w:sz w:val="20"/>
                <w:szCs w:val="20"/>
                <w:lang w:val="el-GR"/>
              </w:rPr>
              <w:t>Εθνικός Στόχος Κύπρου</w:t>
            </w:r>
          </w:p>
        </w:tc>
        <w:tc>
          <w:tcPr>
            <w:tcW w:w="395"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6B4AD9E4" w14:textId="77777777" w:rsidR="00496867" w:rsidRPr="000B4CD0" w:rsidRDefault="00496867" w:rsidP="00496867">
            <w:pPr>
              <w:spacing w:after="0" w:line="240" w:lineRule="auto"/>
              <w:contextualSpacing/>
              <w:jc w:val="center"/>
              <w:rPr>
                <w:rFonts w:cs="Calibri"/>
                <w:b/>
                <w:bCs/>
                <w:iCs/>
                <w:sz w:val="20"/>
                <w:szCs w:val="20"/>
                <w:lang w:val="el-GR"/>
              </w:rPr>
            </w:pPr>
            <w:r w:rsidRPr="00496867">
              <w:rPr>
                <w:rFonts w:cs="Calibri"/>
                <w:b/>
                <w:bCs/>
                <w:iCs/>
                <w:sz w:val="20"/>
                <w:szCs w:val="20"/>
                <w:lang w:val="el-GR"/>
              </w:rPr>
              <w:t>Κύπρος 20</w:t>
            </w:r>
            <w:r w:rsidRPr="000B4CD0">
              <w:rPr>
                <w:rFonts w:cs="Calibri"/>
                <w:b/>
                <w:bCs/>
                <w:iCs/>
                <w:sz w:val="20"/>
                <w:szCs w:val="20"/>
                <w:lang w:val="el-GR"/>
              </w:rPr>
              <w:t>08</w:t>
            </w:r>
          </w:p>
        </w:tc>
        <w:tc>
          <w:tcPr>
            <w:tcW w:w="395"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3195FA0A" w14:textId="77777777" w:rsidR="00496867" w:rsidRPr="000B4CD0" w:rsidRDefault="00496867" w:rsidP="00496867">
            <w:pPr>
              <w:spacing w:after="0" w:line="240" w:lineRule="auto"/>
              <w:contextualSpacing/>
              <w:jc w:val="center"/>
              <w:rPr>
                <w:rFonts w:cs="Calibri"/>
                <w:b/>
                <w:bCs/>
                <w:iCs/>
                <w:sz w:val="20"/>
                <w:szCs w:val="20"/>
                <w:lang w:val="el-GR"/>
              </w:rPr>
            </w:pPr>
            <w:r w:rsidRPr="00496867">
              <w:rPr>
                <w:rFonts w:cs="Calibri"/>
                <w:b/>
                <w:bCs/>
                <w:iCs/>
                <w:sz w:val="20"/>
                <w:szCs w:val="20"/>
                <w:lang w:val="el-GR"/>
              </w:rPr>
              <w:t>Κύπρος 201</w:t>
            </w:r>
            <w:r w:rsidRPr="000B4CD0">
              <w:rPr>
                <w:rFonts w:cs="Calibri"/>
                <w:b/>
                <w:bCs/>
                <w:iCs/>
                <w:sz w:val="20"/>
                <w:szCs w:val="20"/>
                <w:lang w:val="el-GR"/>
              </w:rPr>
              <w:t>2</w:t>
            </w:r>
          </w:p>
        </w:tc>
        <w:tc>
          <w:tcPr>
            <w:tcW w:w="395"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61A60EFF" w14:textId="77777777" w:rsidR="00496867" w:rsidRPr="000B4CD0" w:rsidRDefault="00496867" w:rsidP="00496867">
            <w:pPr>
              <w:spacing w:after="0" w:line="240" w:lineRule="auto"/>
              <w:contextualSpacing/>
              <w:jc w:val="center"/>
              <w:rPr>
                <w:rFonts w:cs="Calibri"/>
                <w:b/>
                <w:bCs/>
                <w:iCs/>
                <w:sz w:val="20"/>
                <w:szCs w:val="20"/>
                <w:lang w:val="el-GR"/>
              </w:rPr>
            </w:pPr>
            <w:r w:rsidRPr="00496867">
              <w:rPr>
                <w:rFonts w:cs="Calibri"/>
                <w:b/>
                <w:bCs/>
                <w:iCs/>
                <w:sz w:val="20"/>
                <w:szCs w:val="20"/>
                <w:lang w:val="el-GR"/>
              </w:rPr>
              <w:t>Κύπρος 201</w:t>
            </w:r>
            <w:r w:rsidRPr="000B4CD0">
              <w:rPr>
                <w:rFonts w:cs="Calibri"/>
                <w:b/>
                <w:bCs/>
                <w:iCs/>
                <w:sz w:val="20"/>
                <w:szCs w:val="20"/>
                <w:lang w:val="el-GR"/>
              </w:rPr>
              <w:t>3</w:t>
            </w:r>
          </w:p>
        </w:tc>
        <w:tc>
          <w:tcPr>
            <w:tcW w:w="395"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3A9A43C6" w14:textId="77777777" w:rsidR="00496867" w:rsidRPr="000B4CD0" w:rsidRDefault="00496867" w:rsidP="00496867">
            <w:pPr>
              <w:spacing w:after="0" w:line="240" w:lineRule="auto"/>
              <w:contextualSpacing/>
              <w:jc w:val="center"/>
              <w:rPr>
                <w:rFonts w:cs="Calibri"/>
                <w:b/>
                <w:bCs/>
                <w:iCs/>
                <w:sz w:val="20"/>
                <w:szCs w:val="20"/>
                <w:lang w:val="el-GR"/>
              </w:rPr>
            </w:pPr>
            <w:r w:rsidRPr="00496867">
              <w:rPr>
                <w:rFonts w:cs="Calibri"/>
                <w:b/>
                <w:bCs/>
                <w:iCs/>
                <w:sz w:val="20"/>
                <w:szCs w:val="20"/>
                <w:lang w:val="el-GR"/>
              </w:rPr>
              <w:t>Κύπρος 201</w:t>
            </w:r>
            <w:r w:rsidRPr="000B4CD0">
              <w:rPr>
                <w:rFonts w:cs="Calibri"/>
                <w:b/>
                <w:bCs/>
                <w:iCs/>
                <w:sz w:val="20"/>
                <w:szCs w:val="20"/>
                <w:lang w:val="el-GR"/>
              </w:rPr>
              <w:t>4</w:t>
            </w:r>
          </w:p>
        </w:tc>
        <w:tc>
          <w:tcPr>
            <w:tcW w:w="395"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4B26D56D" w14:textId="77777777" w:rsidR="00496867" w:rsidRPr="00496867" w:rsidRDefault="00496867" w:rsidP="00496867">
            <w:pPr>
              <w:spacing w:after="0" w:line="240" w:lineRule="auto"/>
              <w:contextualSpacing/>
              <w:jc w:val="center"/>
              <w:rPr>
                <w:rFonts w:cs="Calibri"/>
                <w:b/>
                <w:bCs/>
                <w:iCs/>
                <w:sz w:val="20"/>
                <w:szCs w:val="20"/>
                <w:lang w:val="el-GR"/>
              </w:rPr>
            </w:pPr>
            <w:r w:rsidRPr="00496867">
              <w:rPr>
                <w:rFonts w:cs="Calibri"/>
                <w:b/>
                <w:bCs/>
                <w:iCs/>
                <w:sz w:val="20"/>
                <w:szCs w:val="20"/>
                <w:lang w:val="el-GR"/>
              </w:rPr>
              <w:t>Κύπρος 2015</w:t>
            </w:r>
          </w:p>
        </w:tc>
        <w:tc>
          <w:tcPr>
            <w:tcW w:w="395"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2BD68FEA" w14:textId="77777777" w:rsidR="00496867" w:rsidRPr="00496867" w:rsidRDefault="00496867" w:rsidP="00496867">
            <w:pPr>
              <w:spacing w:after="0" w:line="240" w:lineRule="auto"/>
              <w:contextualSpacing/>
              <w:jc w:val="center"/>
              <w:rPr>
                <w:rFonts w:cs="Calibri"/>
                <w:b/>
                <w:bCs/>
                <w:iCs/>
                <w:sz w:val="20"/>
                <w:szCs w:val="20"/>
                <w:lang w:val="el-GR"/>
              </w:rPr>
            </w:pPr>
            <w:r w:rsidRPr="00496867">
              <w:rPr>
                <w:rFonts w:cs="Calibri"/>
                <w:b/>
                <w:bCs/>
                <w:iCs/>
                <w:sz w:val="20"/>
                <w:szCs w:val="20"/>
                <w:lang w:val="el-GR"/>
              </w:rPr>
              <w:t>Κύπρος 2016</w:t>
            </w:r>
          </w:p>
        </w:tc>
        <w:tc>
          <w:tcPr>
            <w:tcW w:w="395" w:type="pct"/>
            <w:tcBorders>
              <w:top w:val="single" w:sz="8" w:space="0" w:color="FFFFFF"/>
              <w:left w:val="single" w:sz="8" w:space="0" w:color="FFFFFF"/>
              <w:bottom w:val="single" w:sz="24" w:space="0" w:color="FFFFFF"/>
              <w:right w:val="single" w:sz="8" w:space="0" w:color="FFFFFF"/>
            </w:tcBorders>
            <w:shd w:val="clear" w:color="auto" w:fill="F79646"/>
            <w:vAlign w:val="center"/>
          </w:tcPr>
          <w:p w14:paraId="615BCB43" w14:textId="77777777" w:rsidR="00496867" w:rsidRPr="00496867" w:rsidRDefault="00496867" w:rsidP="00496867">
            <w:pPr>
              <w:spacing w:after="0" w:line="240" w:lineRule="auto"/>
              <w:contextualSpacing/>
              <w:jc w:val="center"/>
              <w:rPr>
                <w:rFonts w:cs="Calibri"/>
                <w:b/>
                <w:bCs/>
                <w:iCs/>
                <w:sz w:val="20"/>
                <w:szCs w:val="20"/>
                <w:lang w:val="el-GR"/>
              </w:rPr>
            </w:pPr>
            <w:r w:rsidRPr="00496867">
              <w:rPr>
                <w:rFonts w:cs="Calibri"/>
                <w:b/>
                <w:bCs/>
                <w:iCs/>
                <w:sz w:val="20"/>
                <w:szCs w:val="20"/>
                <w:lang w:val="el-GR"/>
              </w:rPr>
              <w:t>Ε.Ε. 28 2015</w:t>
            </w:r>
          </w:p>
        </w:tc>
      </w:tr>
      <w:tr w:rsidR="00496867" w:rsidRPr="00496867" w14:paraId="12C3CE65" w14:textId="77777777" w:rsidTr="000B4CD0">
        <w:trPr>
          <w:jc w:val="center"/>
        </w:trPr>
        <w:tc>
          <w:tcPr>
            <w:tcW w:w="1321" w:type="pct"/>
            <w:tcBorders>
              <w:top w:val="single" w:sz="8" w:space="0" w:color="FFFFFF"/>
              <w:left w:val="single" w:sz="8" w:space="0" w:color="FFFFFF"/>
              <w:bottom w:val="nil"/>
              <w:right w:val="single" w:sz="24" w:space="0" w:color="FFFFFF"/>
            </w:tcBorders>
            <w:shd w:val="clear" w:color="auto" w:fill="F79646"/>
          </w:tcPr>
          <w:p w14:paraId="076F5C5F"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Ποσοστό απασχόλησης</w:t>
            </w:r>
          </w:p>
          <w:p w14:paraId="5637668D" w14:textId="77777777" w:rsidR="00496867" w:rsidRPr="00496867" w:rsidRDefault="00496867" w:rsidP="00496867">
            <w:pPr>
              <w:spacing w:after="0" w:line="240" w:lineRule="auto"/>
              <w:contextualSpacing/>
              <w:jc w:val="center"/>
              <w:rPr>
                <w:rFonts w:cs="Calibri"/>
                <w:b/>
                <w:bCs/>
                <w:iCs/>
                <w:color w:val="000000"/>
                <w:sz w:val="20"/>
                <w:szCs w:val="20"/>
                <w:lang w:val="el-GR"/>
              </w:rPr>
            </w:pPr>
            <w:bookmarkStart w:id="12" w:name="_Hlk487731512"/>
            <w:r w:rsidRPr="00496867">
              <w:rPr>
                <w:rFonts w:cs="Calibri"/>
                <w:b/>
                <w:bCs/>
                <w:iCs/>
                <w:color w:val="000000"/>
                <w:sz w:val="20"/>
                <w:szCs w:val="20"/>
                <w:lang w:val="el-GR"/>
              </w:rPr>
              <w:t>(ηλικίας 20-64 ετών)</w:t>
            </w:r>
          </w:p>
          <w:bookmarkEnd w:id="12"/>
          <w:p w14:paraId="26661859"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Θ.Σ. 3, 8</w:t>
            </w:r>
          </w:p>
        </w:tc>
        <w:tc>
          <w:tcPr>
            <w:tcW w:w="51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35C0E21A"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75%</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3AEDC22"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75% - 77%</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263FD247"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76,5%</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7972C408"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70,2%</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2D769BB"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67,2%</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5D000A77"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67,6%</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659E67C5"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67,9%</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08FFEA07"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68,8%</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5CC1D2E0"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70,1%</w:t>
            </w:r>
          </w:p>
        </w:tc>
      </w:tr>
      <w:tr w:rsidR="00496867" w:rsidRPr="00496867" w14:paraId="35B597AF" w14:textId="77777777" w:rsidTr="000B4CD0">
        <w:trPr>
          <w:jc w:val="center"/>
        </w:trPr>
        <w:tc>
          <w:tcPr>
            <w:tcW w:w="1321" w:type="pct"/>
            <w:tcBorders>
              <w:left w:val="single" w:sz="8" w:space="0" w:color="FFFFFF"/>
              <w:bottom w:val="nil"/>
              <w:right w:val="single" w:sz="24" w:space="0" w:color="FFFFFF"/>
            </w:tcBorders>
            <w:shd w:val="clear" w:color="auto" w:fill="F79646"/>
          </w:tcPr>
          <w:p w14:paraId="7CD1A532"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Έρευνα και Ανάπτυξη</w:t>
            </w:r>
          </w:p>
          <w:p w14:paraId="11BB6B53"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(ως % του ΑΕΠ)</w:t>
            </w:r>
          </w:p>
          <w:p w14:paraId="5E1101E1"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Θ.Σ. 1</w:t>
            </w:r>
          </w:p>
        </w:tc>
        <w:tc>
          <w:tcPr>
            <w:tcW w:w="517" w:type="pct"/>
            <w:shd w:val="clear" w:color="auto" w:fill="FDE4D0"/>
            <w:vAlign w:val="center"/>
          </w:tcPr>
          <w:p w14:paraId="4D81ED74"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3%</w:t>
            </w:r>
          </w:p>
        </w:tc>
        <w:tc>
          <w:tcPr>
            <w:tcW w:w="395" w:type="pct"/>
            <w:shd w:val="clear" w:color="auto" w:fill="FDE4D0"/>
            <w:vAlign w:val="center"/>
          </w:tcPr>
          <w:p w14:paraId="0C7F5761"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0.5%</w:t>
            </w:r>
          </w:p>
        </w:tc>
        <w:tc>
          <w:tcPr>
            <w:tcW w:w="395" w:type="pct"/>
            <w:shd w:val="clear" w:color="auto" w:fill="FDE4D0"/>
            <w:vAlign w:val="center"/>
          </w:tcPr>
          <w:p w14:paraId="0C47EEB8"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0,39%</w:t>
            </w:r>
          </w:p>
        </w:tc>
        <w:tc>
          <w:tcPr>
            <w:tcW w:w="395" w:type="pct"/>
            <w:shd w:val="clear" w:color="auto" w:fill="FDE4D0"/>
            <w:vAlign w:val="center"/>
          </w:tcPr>
          <w:p w14:paraId="3E9DD173"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0,43%</w:t>
            </w:r>
          </w:p>
        </w:tc>
        <w:tc>
          <w:tcPr>
            <w:tcW w:w="395" w:type="pct"/>
            <w:shd w:val="clear" w:color="auto" w:fill="FDE4D0"/>
            <w:vAlign w:val="center"/>
          </w:tcPr>
          <w:p w14:paraId="477902FE"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0,46%</w:t>
            </w:r>
          </w:p>
        </w:tc>
        <w:tc>
          <w:tcPr>
            <w:tcW w:w="395" w:type="pct"/>
            <w:shd w:val="clear" w:color="auto" w:fill="FDE4D0"/>
            <w:vAlign w:val="center"/>
          </w:tcPr>
          <w:p w14:paraId="0874986D"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0,48%</w:t>
            </w:r>
          </w:p>
        </w:tc>
        <w:tc>
          <w:tcPr>
            <w:tcW w:w="395" w:type="pct"/>
            <w:shd w:val="clear" w:color="auto" w:fill="FDE4D0"/>
            <w:vAlign w:val="center"/>
          </w:tcPr>
          <w:p w14:paraId="7C085261"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0,46%*</w:t>
            </w:r>
          </w:p>
        </w:tc>
        <w:tc>
          <w:tcPr>
            <w:tcW w:w="395" w:type="pct"/>
            <w:shd w:val="clear" w:color="auto" w:fill="FDE4D0"/>
            <w:vAlign w:val="center"/>
          </w:tcPr>
          <w:p w14:paraId="664D49B3" w14:textId="44AFC8E7" w:rsidR="00496867" w:rsidRPr="00496867" w:rsidRDefault="00BA68CD" w:rsidP="00BA68CD">
            <w:pPr>
              <w:spacing w:before="60" w:after="60" w:line="240" w:lineRule="auto"/>
              <w:jc w:val="center"/>
              <w:rPr>
                <w:rFonts w:cs="Calibri"/>
                <w:b/>
                <w:iCs/>
                <w:color w:val="000000"/>
                <w:sz w:val="20"/>
                <w:szCs w:val="20"/>
                <w:lang w:val="el-GR"/>
              </w:rPr>
            </w:pPr>
            <w:r>
              <w:rPr>
                <w:rFonts w:cs="Calibri"/>
                <w:b/>
                <w:iCs/>
                <w:color w:val="000000"/>
                <w:sz w:val="20"/>
                <w:szCs w:val="20"/>
                <w:lang w:val="el-GR"/>
              </w:rPr>
              <w:t>Μ.Δ.</w:t>
            </w:r>
          </w:p>
        </w:tc>
        <w:tc>
          <w:tcPr>
            <w:tcW w:w="395" w:type="pct"/>
            <w:shd w:val="clear" w:color="auto" w:fill="FDE4D0"/>
            <w:vAlign w:val="center"/>
          </w:tcPr>
          <w:p w14:paraId="3E11389C"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2,03%*</w:t>
            </w:r>
          </w:p>
        </w:tc>
      </w:tr>
      <w:tr w:rsidR="00496867" w:rsidRPr="00496867" w14:paraId="7DE74EEC" w14:textId="77777777" w:rsidTr="000B4CD0">
        <w:trPr>
          <w:jc w:val="center"/>
        </w:trPr>
        <w:tc>
          <w:tcPr>
            <w:tcW w:w="1321" w:type="pct"/>
            <w:tcBorders>
              <w:top w:val="single" w:sz="8" w:space="0" w:color="FFFFFF"/>
              <w:left w:val="single" w:sz="8" w:space="0" w:color="FFFFFF"/>
              <w:bottom w:val="nil"/>
              <w:right w:val="single" w:sz="24" w:space="0" w:color="FFFFFF"/>
            </w:tcBorders>
            <w:shd w:val="clear" w:color="auto" w:fill="F79646"/>
          </w:tcPr>
          <w:p w14:paraId="1288D457"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Ανανεώσιμες Πηγές Ενέργειας</w:t>
            </w:r>
          </w:p>
          <w:p w14:paraId="2646D730"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 ακαθάριστης τελικής κατανάλωσης)</w:t>
            </w:r>
          </w:p>
          <w:p w14:paraId="06BA0E27"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Θ.Σ. 4</w:t>
            </w:r>
          </w:p>
        </w:tc>
        <w:tc>
          <w:tcPr>
            <w:tcW w:w="51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2ABDAD1C"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20%</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9A6D4D3"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13%</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203F91B3"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5,1%</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1C53AD9"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6,8%</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66F60DC"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8,1%</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39E3C372" w14:textId="77777777" w:rsidR="00496867" w:rsidRPr="00496867" w:rsidRDefault="00496867" w:rsidP="00496867">
            <w:pPr>
              <w:spacing w:before="60" w:after="60" w:line="240" w:lineRule="auto"/>
              <w:jc w:val="center"/>
              <w:rPr>
                <w:rFonts w:cs="Calibri"/>
                <w:b/>
                <w:iCs/>
                <w:color w:val="000000"/>
                <w:sz w:val="20"/>
                <w:szCs w:val="20"/>
              </w:rPr>
            </w:pPr>
            <w:r w:rsidRPr="00496867">
              <w:rPr>
                <w:rFonts w:cs="Calibri"/>
                <w:b/>
                <w:iCs/>
                <w:color w:val="000000"/>
                <w:sz w:val="20"/>
                <w:szCs w:val="20"/>
              </w:rPr>
              <w:t>8,9%</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71CDB8FD"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9,43%</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7C3EB42C" w14:textId="26BB1A84" w:rsidR="00496867" w:rsidRPr="00496867" w:rsidRDefault="00BA68CD" w:rsidP="00496867">
            <w:pPr>
              <w:spacing w:before="60" w:after="60" w:line="240" w:lineRule="auto"/>
              <w:jc w:val="center"/>
              <w:rPr>
                <w:rFonts w:cs="Calibri"/>
                <w:b/>
                <w:iCs/>
                <w:color w:val="000000"/>
                <w:sz w:val="20"/>
                <w:szCs w:val="20"/>
                <w:lang w:val="el-GR"/>
              </w:rPr>
            </w:pPr>
            <w:r>
              <w:rPr>
                <w:rFonts w:cs="Calibri"/>
                <w:b/>
                <w:iCs/>
                <w:color w:val="000000"/>
                <w:sz w:val="20"/>
                <w:szCs w:val="20"/>
                <w:lang w:val="el-GR"/>
              </w:rPr>
              <w:t>Μ.Δ.</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0C92FC57"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16,7%</w:t>
            </w:r>
          </w:p>
        </w:tc>
      </w:tr>
      <w:tr w:rsidR="00496867" w:rsidRPr="00496867" w14:paraId="197385E3" w14:textId="77777777" w:rsidTr="000B4CD0">
        <w:trPr>
          <w:jc w:val="center"/>
        </w:trPr>
        <w:tc>
          <w:tcPr>
            <w:tcW w:w="1321" w:type="pct"/>
            <w:tcBorders>
              <w:left w:val="single" w:sz="8" w:space="0" w:color="FFFFFF"/>
              <w:bottom w:val="nil"/>
              <w:right w:val="single" w:sz="24" w:space="0" w:color="FFFFFF"/>
            </w:tcBorders>
            <w:shd w:val="clear" w:color="auto" w:fill="F79646"/>
          </w:tcPr>
          <w:p w14:paraId="2DCBB237"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Εκπομπές Ρύπων</w:t>
            </w:r>
          </w:p>
          <w:p w14:paraId="7A80B2D5"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(ως % σε σχέση με 2005)</w:t>
            </w:r>
          </w:p>
          <w:p w14:paraId="365980D4"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Θ.Σ. 4, 5, 6, 7</w:t>
            </w:r>
          </w:p>
        </w:tc>
        <w:tc>
          <w:tcPr>
            <w:tcW w:w="517" w:type="pct"/>
            <w:shd w:val="clear" w:color="auto" w:fill="FDE4D0"/>
            <w:vAlign w:val="center"/>
          </w:tcPr>
          <w:p w14:paraId="22B00AC7"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-20%</w:t>
            </w:r>
          </w:p>
          <w:p w14:paraId="569A2BE4"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(σε σχέση με 1990)</w:t>
            </w:r>
          </w:p>
        </w:tc>
        <w:tc>
          <w:tcPr>
            <w:tcW w:w="395" w:type="pct"/>
            <w:shd w:val="clear" w:color="auto" w:fill="FDE4D0"/>
            <w:vAlign w:val="center"/>
          </w:tcPr>
          <w:p w14:paraId="73929B1F"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-5%</w:t>
            </w:r>
          </w:p>
        </w:tc>
        <w:tc>
          <w:tcPr>
            <w:tcW w:w="395" w:type="pct"/>
            <w:shd w:val="clear" w:color="auto" w:fill="FDE4D0"/>
            <w:vAlign w:val="center"/>
          </w:tcPr>
          <w:p w14:paraId="5A55F789" w14:textId="77777777" w:rsidR="00496867" w:rsidRPr="00496867" w:rsidRDefault="00496867" w:rsidP="00496867">
            <w:pPr>
              <w:spacing w:before="60" w:after="60" w:line="240" w:lineRule="auto"/>
              <w:jc w:val="center"/>
              <w:rPr>
                <w:rFonts w:cs="Calibri"/>
                <w:b/>
                <w:iCs/>
                <w:color w:val="000000"/>
                <w:sz w:val="20"/>
                <w:szCs w:val="20"/>
              </w:rPr>
            </w:pPr>
          </w:p>
        </w:tc>
        <w:tc>
          <w:tcPr>
            <w:tcW w:w="395" w:type="pct"/>
            <w:shd w:val="clear" w:color="auto" w:fill="FDE4D0"/>
            <w:vAlign w:val="center"/>
          </w:tcPr>
          <w:p w14:paraId="2F06259A" w14:textId="77777777" w:rsidR="00496867" w:rsidRPr="00496867" w:rsidRDefault="00496867" w:rsidP="00496867">
            <w:pPr>
              <w:spacing w:before="60" w:after="60" w:line="240" w:lineRule="auto"/>
              <w:jc w:val="center"/>
              <w:rPr>
                <w:rFonts w:cs="Calibri"/>
                <w:b/>
                <w:iCs/>
                <w:color w:val="000000"/>
                <w:sz w:val="20"/>
                <w:szCs w:val="20"/>
              </w:rPr>
            </w:pPr>
          </w:p>
        </w:tc>
        <w:tc>
          <w:tcPr>
            <w:tcW w:w="395" w:type="pct"/>
            <w:shd w:val="clear" w:color="auto" w:fill="FDE4D0"/>
            <w:vAlign w:val="center"/>
          </w:tcPr>
          <w:p w14:paraId="19DD4ED4"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-6,1%</w:t>
            </w:r>
          </w:p>
        </w:tc>
        <w:tc>
          <w:tcPr>
            <w:tcW w:w="395" w:type="pct"/>
            <w:shd w:val="clear" w:color="auto" w:fill="FDE4D0"/>
            <w:vAlign w:val="center"/>
          </w:tcPr>
          <w:p w14:paraId="5A25D23D"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-6,5%</w:t>
            </w:r>
          </w:p>
        </w:tc>
        <w:tc>
          <w:tcPr>
            <w:tcW w:w="395" w:type="pct"/>
            <w:shd w:val="clear" w:color="auto" w:fill="FDE4D0"/>
            <w:vAlign w:val="center"/>
          </w:tcPr>
          <w:p w14:paraId="77FF42FA"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-9,6%</w:t>
            </w:r>
          </w:p>
        </w:tc>
        <w:tc>
          <w:tcPr>
            <w:tcW w:w="395" w:type="pct"/>
            <w:shd w:val="clear" w:color="auto" w:fill="FDE4D0"/>
            <w:vAlign w:val="center"/>
          </w:tcPr>
          <w:p w14:paraId="16B96257" w14:textId="72F4F033" w:rsidR="00496867" w:rsidRPr="00496867" w:rsidRDefault="00BA68CD" w:rsidP="00BA68CD">
            <w:pPr>
              <w:spacing w:before="60" w:after="60" w:line="240" w:lineRule="auto"/>
              <w:jc w:val="center"/>
              <w:rPr>
                <w:rFonts w:cs="Calibri"/>
                <w:b/>
                <w:iCs/>
                <w:color w:val="000000"/>
                <w:sz w:val="20"/>
                <w:szCs w:val="20"/>
                <w:lang w:val="el-GR"/>
              </w:rPr>
            </w:pPr>
            <w:r>
              <w:rPr>
                <w:rFonts w:cs="Calibri"/>
                <w:b/>
                <w:iCs/>
                <w:color w:val="000000"/>
                <w:sz w:val="20"/>
                <w:szCs w:val="20"/>
                <w:lang w:val="el-GR"/>
              </w:rPr>
              <w:t>Μ.Δ.</w:t>
            </w:r>
          </w:p>
        </w:tc>
        <w:tc>
          <w:tcPr>
            <w:tcW w:w="395" w:type="pct"/>
            <w:shd w:val="clear" w:color="auto" w:fill="FDE4D0"/>
            <w:vAlign w:val="center"/>
          </w:tcPr>
          <w:p w14:paraId="60FE5E46"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-9,6%</w:t>
            </w:r>
          </w:p>
        </w:tc>
      </w:tr>
      <w:tr w:rsidR="00496867" w:rsidRPr="00496867" w14:paraId="16B91AB8" w14:textId="77777777" w:rsidTr="000B4CD0">
        <w:trPr>
          <w:jc w:val="center"/>
        </w:trPr>
        <w:tc>
          <w:tcPr>
            <w:tcW w:w="1321" w:type="pct"/>
            <w:tcBorders>
              <w:top w:val="single" w:sz="8" w:space="0" w:color="FFFFFF"/>
              <w:left w:val="single" w:sz="8" w:space="0" w:color="FFFFFF"/>
              <w:bottom w:val="nil"/>
              <w:right w:val="single" w:sz="24" w:space="0" w:color="FFFFFF"/>
            </w:tcBorders>
            <w:shd w:val="clear" w:color="auto" w:fill="F79646"/>
          </w:tcPr>
          <w:p w14:paraId="7FE422DD"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Ενεργειακή Απόδοση</w:t>
            </w:r>
          </w:p>
          <w:p w14:paraId="6E1A6A79"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(σε τόνους ισοδύναμου πετρελαίου)</w:t>
            </w:r>
          </w:p>
          <w:p w14:paraId="06739D45"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Θ.Σ. 4</w:t>
            </w:r>
          </w:p>
        </w:tc>
        <w:tc>
          <w:tcPr>
            <w:tcW w:w="51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1C65168B"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1.483 εκ.</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6D1E87FE"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2,2 εκ.</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7540FA3"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rPr>
              <w:t xml:space="preserve">2,8 </w:t>
            </w:r>
            <w:r w:rsidRPr="00496867">
              <w:rPr>
                <w:rFonts w:cs="Calibri"/>
                <w:b/>
                <w:iCs/>
                <w:color w:val="000000"/>
                <w:sz w:val="20"/>
                <w:szCs w:val="20"/>
                <w:lang w:val="el-GR"/>
              </w:rPr>
              <w:t>εκ.</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7EE8BD7F"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2,5 εκ.</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1BAB6CF"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2,2 εκ.</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3303FED6"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2,2 εκ.</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3B543734"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2,2 εκ.</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28D6891A" w14:textId="39AFC1D9" w:rsidR="00496867" w:rsidRPr="00496867" w:rsidRDefault="00BA68CD" w:rsidP="00496867">
            <w:pPr>
              <w:spacing w:before="60" w:after="60" w:line="240" w:lineRule="auto"/>
              <w:jc w:val="center"/>
              <w:rPr>
                <w:rFonts w:cs="Calibri"/>
                <w:b/>
                <w:iCs/>
                <w:color w:val="000000"/>
                <w:sz w:val="20"/>
                <w:szCs w:val="20"/>
                <w:lang w:val="el-GR"/>
              </w:rPr>
            </w:pPr>
            <w:r>
              <w:rPr>
                <w:rFonts w:cs="Calibri"/>
                <w:b/>
                <w:iCs/>
                <w:color w:val="000000"/>
                <w:sz w:val="20"/>
                <w:szCs w:val="20"/>
                <w:lang w:val="el-GR"/>
              </w:rPr>
              <w:t>Μ.Δ.</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95681A9"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1.529 εκ.</w:t>
            </w:r>
          </w:p>
        </w:tc>
      </w:tr>
      <w:tr w:rsidR="00496867" w:rsidRPr="00496867" w14:paraId="3FA56C83" w14:textId="77777777" w:rsidTr="000B4CD0">
        <w:trPr>
          <w:jc w:val="center"/>
        </w:trPr>
        <w:tc>
          <w:tcPr>
            <w:tcW w:w="1321" w:type="pct"/>
            <w:tcBorders>
              <w:left w:val="single" w:sz="8" w:space="0" w:color="FFFFFF"/>
              <w:bottom w:val="nil"/>
              <w:right w:val="single" w:sz="24" w:space="0" w:color="FFFFFF"/>
            </w:tcBorders>
            <w:shd w:val="clear" w:color="auto" w:fill="F79646"/>
          </w:tcPr>
          <w:p w14:paraId="5642D504"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Σχολική Εκπαίδευση</w:t>
            </w:r>
          </w:p>
          <w:p w14:paraId="5CF2E1ED"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(μείωση του ποσοστού πρόωρης εγκατάλειψης)</w:t>
            </w:r>
          </w:p>
          <w:p w14:paraId="6CD23B61"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Θ.Σ. 9, 10</w:t>
            </w:r>
          </w:p>
        </w:tc>
        <w:tc>
          <w:tcPr>
            <w:tcW w:w="517" w:type="pct"/>
            <w:shd w:val="clear" w:color="auto" w:fill="FDE4D0"/>
            <w:vAlign w:val="center"/>
          </w:tcPr>
          <w:p w14:paraId="583CE2DC"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10%</w:t>
            </w:r>
          </w:p>
        </w:tc>
        <w:tc>
          <w:tcPr>
            <w:tcW w:w="395" w:type="pct"/>
            <w:shd w:val="clear" w:color="auto" w:fill="FDE4D0"/>
            <w:vAlign w:val="center"/>
          </w:tcPr>
          <w:p w14:paraId="32D7FE0B"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10%</w:t>
            </w:r>
          </w:p>
        </w:tc>
        <w:tc>
          <w:tcPr>
            <w:tcW w:w="395" w:type="pct"/>
            <w:shd w:val="clear" w:color="auto" w:fill="FDE4D0"/>
            <w:vAlign w:val="center"/>
          </w:tcPr>
          <w:p w14:paraId="2339C9F5"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13,7%</w:t>
            </w:r>
          </w:p>
        </w:tc>
        <w:tc>
          <w:tcPr>
            <w:tcW w:w="395" w:type="pct"/>
            <w:shd w:val="clear" w:color="auto" w:fill="FDE4D0"/>
            <w:vAlign w:val="center"/>
          </w:tcPr>
          <w:p w14:paraId="7B058D4C"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11,4%</w:t>
            </w:r>
          </w:p>
        </w:tc>
        <w:tc>
          <w:tcPr>
            <w:tcW w:w="395" w:type="pct"/>
            <w:shd w:val="clear" w:color="auto" w:fill="FDE4D0"/>
            <w:vAlign w:val="center"/>
          </w:tcPr>
          <w:p w14:paraId="1F0A9FE3"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9,1%</w:t>
            </w:r>
          </w:p>
        </w:tc>
        <w:tc>
          <w:tcPr>
            <w:tcW w:w="395" w:type="pct"/>
            <w:shd w:val="clear" w:color="auto" w:fill="FDE4D0"/>
            <w:vAlign w:val="center"/>
          </w:tcPr>
          <w:p w14:paraId="75A483EE"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6,8%</w:t>
            </w:r>
          </w:p>
        </w:tc>
        <w:tc>
          <w:tcPr>
            <w:tcW w:w="395" w:type="pct"/>
            <w:shd w:val="clear" w:color="auto" w:fill="FDE4D0"/>
            <w:vAlign w:val="center"/>
          </w:tcPr>
          <w:p w14:paraId="436631B4"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5,2%</w:t>
            </w:r>
          </w:p>
        </w:tc>
        <w:tc>
          <w:tcPr>
            <w:tcW w:w="395" w:type="pct"/>
            <w:shd w:val="clear" w:color="auto" w:fill="FDE4D0"/>
            <w:vAlign w:val="center"/>
          </w:tcPr>
          <w:p w14:paraId="428DA420"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7,7%</w:t>
            </w:r>
          </w:p>
        </w:tc>
        <w:tc>
          <w:tcPr>
            <w:tcW w:w="395" w:type="pct"/>
            <w:shd w:val="clear" w:color="auto" w:fill="FDE4D0"/>
            <w:vAlign w:val="center"/>
          </w:tcPr>
          <w:p w14:paraId="4EDE4261"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11%</w:t>
            </w:r>
          </w:p>
        </w:tc>
      </w:tr>
      <w:tr w:rsidR="00496867" w:rsidRPr="00496867" w14:paraId="7B50319D" w14:textId="77777777" w:rsidTr="000B4CD0">
        <w:trPr>
          <w:jc w:val="center"/>
        </w:trPr>
        <w:tc>
          <w:tcPr>
            <w:tcW w:w="1321" w:type="pct"/>
            <w:tcBorders>
              <w:top w:val="single" w:sz="8" w:space="0" w:color="FFFFFF"/>
              <w:left w:val="single" w:sz="8" w:space="0" w:color="FFFFFF"/>
              <w:bottom w:val="nil"/>
              <w:right w:val="single" w:sz="24" w:space="0" w:color="FFFFFF"/>
            </w:tcBorders>
            <w:shd w:val="clear" w:color="auto" w:fill="F79646"/>
          </w:tcPr>
          <w:p w14:paraId="4840BF4C"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 xml:space="preserve">Τριτοβάθμια εκπαίδευση: </w:t>
            </w:r>
          </w:p>
          <w:p w14:paraId="76F79B0D"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(αύξηση της συμμετοχής)</w:t>
            </w:r>
          </w:p>
          <w:p w14:paraId="140436C3"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Θ.Σ. 10</w:t>
            </w:r>
          </w:p>
        </w:tc>
        <w:tc>
          <w:tcPr>
            <w:tcW w:w="517"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00B5A631"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40%</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53B566FD" w14:textId="77777777" w:rsidR="00496867" w:rsidRPr="00496867" w:rsidRDefault="00732C52" w:rsidP="00496867">
            <w:pPr>
              <w:spacing w:before="60" w:after="60" w:line="240" w:lineRule="auto"/>
              <w:jc w:val="center"/>
              <w:rPr>
                <w:rFonts w:cs="Calibri"/>
                <w:b/>
                <w:iCs/>
                <w:color w:val="000000"/>
                <w:sz w:val="20"/>
                <w:szCs w:val="20"/>
                <w:lang w:val="el-GR"/>
              </w:rPr>
            </w:pPr>
            <w:r>
              <w:rPr>
                <w:rFonts w:cs="Calibri"/>
                <w:b/>
                <w:iCs/>
                <w:color w:val="000000"/>
                <w:sz w:val="20"/>
                <w:szCs w:val="20"/>
                <w:lang w:val="el-GR"/>
              </w:rPr>
              <w:t>4</w:t>
            </w:r>
            <w:r w:rsidR="00496867" w:rsidRPr="00496867">
              <w:rPr>
                <w:rFonts w:cs="Calibri"/>
                <w:b/>
                <w:iCs/>
                <w:color w:val="000000"/>
                <w:sz w:val="20"/>
                <w:szCs w:val="20"/>
                <w:lang w:val="el-GR"/>
              </w:rPr>
              <w:t>6%</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713CD2CC"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47,1%</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456FCE13"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49,9%</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6D419361"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47,8%</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07BFE056"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52,5%</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670DEC87"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54,5%</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1C37D41B"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53,4%</w:t>
            </w:r>
          </w:p>
        </w:tc>
        <w:tc>
          <w:tcPr>
            <w:tcW w:w="395" w:type="pct"/>
            <w:tcBorders>
              <w:top w:val="single" w:sz="8" w:space="0" w:color="FFFFFF"/>
              <w:left w:val="single" w:sz="8" w:space="0" w:color="FFFFFF"/>
              <w:bottom w:val="single" w:sz="8" w:space="0" w:color="FFFFFF"/>
              <w:right w:val="single" w:sz="8" w:space="0" w:color="FFFFFF"/>
            </w:tcBorders>
            <w:shd w:val="clear" w:color="auto" w:fill="FBCAA2"/>
            <w:vAlign w:val="center"/>
          </w:tcPr>
          <w:p w14:paraId="24D0DA37"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38,7%</w:t>
            </w:r>
          </w:p>
        </w:tc>
      </w:tr>
      <w:tr w:rsidR="00496867" w:rsidRPr="00496867" w14:paraId="41296EE1" w14:textId="77777777" w:rsidTr="000B4CD0">
        <w:trPr>
          <w:jc w:val="center"/>
        </w:trPr>
        <w:tc>
          <w:tcPr>
            <w:tcW w:w="1321" w:type="pct"/>
            <w:tcBorders>
              <w:left w:val="single" w:sz="8" w:space="0" w:color="FFFFFF"/>
              <w:right w:val="single" w:sz="24" w:space="0" w:color="FFFFFF"/>
            </w:tcBorders>
            <w:shd w:val="clear" w:color="auto" w:fill="F79646"/>
          </w:tcPr>
          <w:p w14:paraId="4E8C58BC"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Κίνδυνος φτώχειας ή κοινωνικού αποκλεισμού (μείωση σε αριθμό ατόμων ή ως % πληθυσμού)</w:t>
            </w:r>
          </w:p>
          <w:p w14:paraId="7934F225" w14:textId="77777777" w:rsidR="00496867" w:rsidRPr="00496867" w:rsidRDefault="00496867" w:rsidP="00496867">
            <w:pPr>
              <w:spacing w:after="0" w:line="240" w:lineRule="auto"/>
              <w:contextualSpacing/>
              <w:jc w:val="center"/>
              <w:rPr>
                <w:rFonts w:cs="Calibri"/>
                <w:b/>
                <w:bCs/>
                <w:iCs/>
                <w:color w:val="000000"/>
                <w:sz w:val="20"/>
                <w:szCs w:val="20"/>
                <w:lang w:val="el-GR"/>
              </w:rPr>
            </w:pPr>
            <w:r w:rsidRPr="00496867">
              <w:rPr>
                <w:rFonts w:cs="Calibri"/>
                <w:b/>
                <w:bCs/>
                <w:iCs/>
                <w:color w:val="000000"/>
                <w:sz w:val="20"/>
                <w:szCs w:val="20"/>
                <w:lang w:val="el-GR"/>
              </w:rPr>
              <w:t>Θ.Σ. 9</w:t>
            </w:r>
          </w:p>
        </w:tc>
        <w:tc>
          <w:tcPr>
            <w:tcW w:w="517" w:type="pct"/>
            <w:shd w:val="clear" w:color="auto" w:fill="FDE4D0"/>
            <w:vAlign w:val="center"/>
          </w:tcPr>
          <w:p w14:paraId="7F3A6B13"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20 εκατ.</w:t>
            </w:r>
          </w:p>
        </w:tc>
        <w:tc>
          <w:tcPr>
            <w:tcW w:w="395" w:type="pct"/>
            <w:shd w:val="clear" w:color="auto" w:fill="FDE4D0"/>
            <w:vAlign w:val="center"/>
          </w:tcPr>
          <w:p w14:paraId="7F2ABEFF"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27.000 ή 19,3%</w:t>
            </w:r>
          </w:p>
        </w:tc>
        <w:tc>
          <w:tcPr>
            <w:tcW w:w="395" w:type="pct"/>
            <w:shd w:val="clear" w:color="auto" w:fill="FDE4D0"/>
            <w:vAlign w:val="center"/>
          </w:tcPr>
          <w:p w14:paraId="25EE29A9"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0</w:t>
            </w:r>
          </w:p>
        </w:tc>
        <w:tc>
          <w:tcPr>
            <w:tcW w:w="395" w:type="pct"/>
            <w:shd w:val="clear" w:color="auto" w:fill="FDE4D0"/>
            <w:vAlign w:val="center"/>
          </w:tcPr>
          <w:p w14:paraId="3CC0F6F6"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53.000</w:t>
            </w:r>
          </w:p>
        </w:tc>
        <w:tc>
          <w:tcPr>
            <w:tcW w:w="395" w:type="pct"/>
            <w:shd w:val="clear" w:color="auto" w:fill="FDE4D0"/>
            <w:vAlign w:val="center"/>
          </w:tcPr>
          <w:p w14:paraId="51CF088B"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59.000</w:t>
            </w:r>
          </w:p>
        </w:tc>
        <w:tc>
          <w:tcPr>
            <w:tcW w:w="395" w:type="pct"/>
            <w:shd w:val="clear" w:color="auto" w:fill="FDE4D0"/>
            <w:vAlign w:val="center"/>
          </w:tcPr>
          <w:p w14:paraId="0E8799C9"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54.000</w:t>
            </w:r>
          </w:p>
        </w:tc>
        <w:tc>
          <w:tcPr>
            <w:tcW w:w="395" w:type="pct"/>
            <w:shd w:val="clear" w:color="auto" w:fill="FDE4D0"/>
            <w:vAlign w:val="center"/>
          </w:tcPr>
          <w:p w14:paraId="03236CF8"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63.000 ή 28,9%</w:t>
            </w:r>
          </w:p>
        </w:tc>
        <w:tc>
          <w:tcPr>
            <w:tcW w:w="395" w:type="pct"/>
            <w:shd w:val="clear" w:color="auto" w:fill="FDE4D0"/>
            <w:vAlign w:val="center"/>
          </w:tcPr>
          <w:p w14:paraId="01181B5F" w14:textId="26AC7C46" w:rsidR="00496867" w:rsidRPr="00496867" w:rsidRDefault="00BA68CD" w:rsidP="00BA68CD">
            <w:pPr>
              <w:spacing w:before="60" w:after="60" w:line="240" w:lineRule="auto"/>
              <w:jc w:val="center"/>
              <w:rPr>
                <w:rFonts w:cs="Calibri"/>
                <w:b/>
                <w:iCs/>
                <w:color w:val="000000"/>
                <w:sz w:val="20"/>
                <w:szCs w:val="20"/>
                <w:lang w:val="el-GR"/>
              </w:rPr>
            </w:pPr>
            <w:r>
              <w:rPr>
                <w:rFonts w:cs="Calibri"/>
                <w:b/>
                <w:iCs/>
                <w:color w:val="000000"/>
                <w:sz w:val="20"/>
                <w:szCs w:val="20"/>
                <w:lang w:val="el-GR"/>
              </w:rPr>
              <w:t>Μ.Δ.</w:t>
            </w:r>
          </w:p>
        </w:tc>
        <w:tc>
          <w:tcPr>
            <w:tcW w:w="395" w:type="pct"/>
            <w:shd w:val="clear" w:color="auto" w:fill="FDE4D0"/>
            <w:vAlign w:val="center"/>
          </w:tcPr>
          <w:p w14:paraId="14DEC49D" w14:textId="77777777" w:rsidR="00496867" w:rsidRPr="00496867" w:rsidRDefault="00496867" w:rsidP="00496867">
            <w:pPr>
              <w:spacing w:before="60" w:after="60" w:line="240" w:lineRule="auto"/>
              <w:jc w:val="center"/>
              <w:rPr>
                <w:rFonts w:cs="Calibri"/>
                <w:b/>
                <w:iCs/>
                <w:color w:val="000000"/>
                <w:sz w:val="20"/>
                <w:szCs w:val="20"/>
                <w:lang w:val="el-GR"/>
              </w:rPr>
            </w:pPr>
            <w:r w:rsidRPr="00496867">
              <w:rPr>
                <w:rFonts w:cs="Calibri"/>
                <w:b/>
                <w:iCs/>
                <w:color w:val="000000"/>
                <w:sz w:val="20"/>
                <w:szCs w:val="20"/>
                <w:lang w:val="el-GR"/>
              </w:rPr>
              <w:t>23,7%</w:t>
            </w:r>
          </w:p>
        </w:tc>
      </w:tr>
    </w:tbl>
    <w:bookmarkEnd w:id="11"/>
    <w:p w14:paraId="6D8F8F20" w14:textId="77777777" w:rsidR="00BA68CD" w:rsidRPr="00BA68CD" w:rsidRDefault="00BA68CD" w:rsidP="00496867">
      <w:pPr>
        <w:spacing w:after="0"/>
        <w:jc w:val="both"/>
        <w:rPr>
          <w:rFonts w:cs="Calibri"/>
          <w:iCs/>
          <w:color w:val="000000"/>
          <w:sz w:val="18"/>
          <w:szCs w:val="18"/>
          <w:lang w:val="el-GR"/>
        </w:rPr>
      </w:pPr>
      <w:r w:rsidRPr="00BA68CD">
        <w:rPr>
          <w:rFonts w:cs="Calibri"/>
          <w:iCs/>
          <w:color w:val="000000"/>
          <w:sz w:val="18"/>
          <w:szCs w:val="18"/>
          <w:lang w:val="el-GR"/>
        </w:rPr>
        <w:t>Μ.Δ.</w:t>
      </w:r>
      <w:r>
        <w:rPr>
          <w:rFonts w:cs="Calibri"/>
          <w:iCs/>
          <w:color w:val="000000"/>
          <w:sz w:val="18"/>
          <w:szCs w:val="18"/>
          <w:lang w:val="el-GR"/>
        </w:rPr>
        <w:t>: Μη Διαθέσιμα στοιχεία</w:t>
      </w:r>
    </w:p>
    <w:p w14:paraId="3772A56D" w14:textId="1EE7D7F5" w:rsidR="00BA68CD" w:rsidRPr="00496867" w:rsidRDefault="00496867" w:rsidP="00496867">
      <w:pPr>
        <w:spacing w:after="0"/>
        <w:jc w:val="both"/>
        <w:rPr>
          <w:rFonts w:cs="Calibri"/>
          <w:iCs/>
          <w:color w:val="000000"/>
          <w:sz w:val="18"/>
          <w:szCs w:val="18"/>
          <w:lang w:val="el-GR"/>
        </w:rPr>
      </w:pPr>
      <w:r w:rsidRPr="00496867">
        <w:rPr>
          <w:rFonts w:cs="Calibri"/>
          <w:iCs/>
          <w:color w:val="000000"/>
          <w:lang w:val="el-GR"/>
        </w:rPr>
        <w:t xml:space="preserve">* </w:t>
      </w:r>
      <w:r w:rsidR="00BA68CD">
        <w:rPr>
          <w:rFonts w:cs="Calibri"/>
          <w:iCs/>
          <w:color w:val="000000"/>
          <w:sz w:val="18"/>
          <w:szCs w:val="18"/>
          <w:lang w:val="el-GR"/>
        </w:rPr>
        <w:t>Προκαταρτικά Στοιχεία</w:t>
      </w:r>
      <w:r w:rsidRPr="00496867">
        <w:rPr>
          <w:rFonts w:cs="Calibri"/>
          <w:iCs/>
          <w:color w:val="000000"/>
          <w:sz w:val="18"/>
          <w:szCs w:val="18"/>
          <w:lang w:val="el-GR"/>
        </w:rPr>
        <w:t>.</w:t>
      </w:r>
    </w:p>
    <w:p w14:paraId="44412887" w14:textId="77777777" w:rsidR="00496867" w:rsidRPr="00496867" w:rsidRDefault="00496867" w:rsidP="00496867">
      <w:pPr>
        <w:jc w:val="both"/>
        <w:rPr>
          <w:rFonts w:cs="Calibri"/>
          <w:iCs/>
          <w:color w:val="000000"/>
          <w:sz w:val="18"/>
          <w:szCs w:val="18"/>
        </w:rPr>
      </w:pPr>
      <w:r w:rsidRPr="00496867">
        <w:rPr>
          <w:rFonts w:cs="Calibri"/>
          <w:b/>
          <w:iCs/>
          <w:color w:val="000000"/>
          <w:sz w:val="18"/>
          <w:szCs w:val="18"/>
          <w:u w:val="single"/>
          <w:lang w:val="el-GR"/>
        </w:rPr>
        <w:t>Πηγή</w:t>
      </w:r>
      <w:r w:rsidRPr="00496867">
        <w:rPr>
          <w:rFonts w:cs="Calibri"/>
          <w:b/>
          <w:iCs/>
          <w:color w:val="000000"/>
          <w:sz w:val="18"/>
          <w:szCs w:val="18"/>
          <w:lang w:val="el-GR"/>
        </w:rPr>
        <w:t>:</w:t>
      </w:r>
      <w:r w:rsidRPr="00496867">
        <w:rPr>
          <w:rFonts w:cs="Calibri"/>
          <w:iCs/>
          <w:color w:val="000000"/>
          <w:sz w:val="18"/>
          <w:szCs w:val="18"/>
          <w:lang w:val="el-GR"/>
        </w:rPr>
        <w:t xml:space="preserve"> </w:t>
      </w:r>
      <w:r w:rsidRPr="00496867">
        <w:rPr>
          <w:rFonts w:cs="Calibri"/>
          <w:iCs/>
          <w:color w:val="000000"/>
          <w:sz w:val="18"/>
          <w:szCs w:val="18"/>
        </w:rPr>
        <w:t>Eurostat</w:t>
      </w:r>
    </w:p>
    <w:p w14:paraId="12BCAC65" w14:textId="77777777" w:rsidR="00496867" w:rsidRPr="00496867" w:rsidRDefault="00496867" w:rsidP="00496867">
      <w:pPr>
        <w:spacing w:before="240"/>
        <w:jc w:val="both"/>
        <w:rPr>
          <w:rFonts w:cs="Calibri"/>
          <w:b/>
          <w:iCs/>
          <w:color w:val="000000"/>
          <w:u w:val="single"/>
          <w:lang w:val="el-GR"/>
        </w:rPr>
        <w:sectPr w:rsidR="00496867" w:rsidRPr="00496867" w:rsidSect="00392E71">
          <w:pgSz w:w="15840" w:h="12240" w:orient="landscape" w:code="1"/>
          <w:pgMar w:top="1134" w:right="1418" w:bottom="1134" w:left="1418" w:header="454" w:footer="454" w:gutter="0"/>
          <w:cols w:space="708"/>
          <w:docGrid w:linePitch="360"/>
        </w:sectPr>
      </w:pPr>
    </w:p>
    <w:p w14:paraId="6B2E6100" w14:textId="77777777" w:rsidR="00496867" w:rsidRPr="00496867" w:rsidRDefault="00496867" w:rsidP="007F59D1">
      <w:pPr>
        <w:jc w:val="both"/>
        <w:rPr>
          <w:rFonts w:cs="Calibri"/>
          <w:iCs/>
          <w:color w:val="000000"/>
          <w:lang w:val="el-GR"/>
        </w:rPr>
      </w:pPr>
      <w:r w:rsidRPr="00496867">
        <w:rPr>
          <w:rFonts w:cs="Calibri"/>
          <w:iCs/>
          <w:color w:val="000000"/>
          <w:lang w:val="el-GR"/>
        </w:rPr>
        <w:lastRenderedPageBreak/>
        <w:t xml:space="preserve">Πιο αναλυτικά, η </w:t>
      </w:r>
      <w:r w:rsidRPr="00496867">
        <w:rPr>
          <w:rFonts w:cs="Calibri"/>
          <w:b/>
          <w:iCs/>
          <w:color w:val="000000"/>
          <w:lang w:val="el-GR"/>
        </w:rPr>
        <w:t>πρόοδος που σημειώθηκε στην Κύπρο ανά Εθνικό Στόχο</w:t>
      </w:r>
      <w:r w:rsidRPr="00496867">
        <w:rPr>
          <w:rFonts w:cs="Calibri"/>
          <w:iCs/>
          <w:color w:val="000000"/>
          <w:lang w:val="el-GR"/>
        </w:rPr>
        <w:t xml:space="preserve"> έχει ως ακολούθως:</w:t>
      </w:r>
    </w:p>
    <w:p w14:paraId="6D4C33AF" w14:textId="2AA0A582" w:rsidR="00496867" w:rsidRPr="00496867" w:rsidRDefault="00496867" w:rsidP="001D583B">
      <w:pPr>
        <w:numPr>
          <w:ilvl w:val="0"/>
          <w:numId w:val="13"/>
        </w:numPr>
        <w:jc w:val="both"/>
        <w:rPr>
          <w:rFonts w:cs="Calibri"/>
          <w:iCs/>
          <w:color w:val="000000"/>
          <w:lang w:val="el-GR"/>
        </w:rPr>
      </w:pPr>
      <w:r w:rsidRPr="00496867">
        <w:rPr>
          <w:rFonts w:cs="Calibri"/>
          <w:b/>
          <w:iCs/>
          <w:color w:val="000000"/>
          <w:lang w:val="el-GR"/>
        </w:rPr>
        <w:t xml:space="preserve">Ποσοστό Απασχόλησης (ηλικίας 20-64 ετών): </w:t>
      </w:r>
      <w:r w:rsidRPr="00496867">
        <w:rPr>
          <w:rFonts w:cs="Calibri"/>
          <w:iCs/>
          <w:color w:val="000000"/>
          <w:lang w:val="el-GR"/>
        </w:rPr>
        <w:t xml:space="preserve">Από το 2013, και σε συνέχεια μίας οκταετίας με μέσο όρο περίπου 75%, το ποσοστό απασχόλησης </w:t>
      </w:r>
      <w:r w:rsidR="0047726F">
        <w:rPr>
          <w:rFonts w:cs="Calibri"/>
          <w:iCs/>
          <w:color w:val="000000"/>
          <w:lang w:val="el-GR"/>
        </w:rPr>
        <w:t>στις ηλικίες</w:t>
      </w:r>
      <w:r w:rsidRPr="00496867">
        <w:rPr>
          <w:rFonts w:cs="Calibri"/>
          <w:iCs/>
          <w:color w:val="000000"/>
          <w:lang w:val="el-GR"/>
        </w:rPr>
        <w:t xml:space="preserve"> 20-64 υποχώρησε σε επίπεδα χαμηλότερα του 70%</w:t>
      </w:r>
      <w:r w:rsidR="0047726F">
        <w:rPr>
          <w:rFonts w:cs="Calibri"/>
          <w:iCs/>
          <w:color w:val="000000"/>
          <w:lang w:val="el-GR"/>
        </w:rPr>
        <w:t>, λόγω της οικονομικής κρίσης</w:t>
      </w:r>
      <w:r w:rsidRPr="00496867">
        <w:rPr>
          <w:rFonts w:cs="Calibri"/>
          <w:iCs/>
          <w:color w:val="000000"/>
          <w:lang w:val="el-GR"/>
        </w:rPr>
        <w:t>. -</w:t>
      </w:r>
      <w:r w:rsidR="0047726F">
        <w:rPr>
          <w:rFonts w:cs="Calibri"/>
          <w:iCs/>
          <w:color w:val="000000"/>
          <w:lang w:val="el-GR"/>
        </w:rPr>
        <w:t>Το 2016 το ποσοστό ήταν στο 68,8%</w:t>
      </w:r>
      <w:r w:rsidRPr="00496867">
        <w:rPr>
          <w:rFonts w:cs="Calibri"/>
          <w:iCs/>
          <w:color w:val="000000"/>
          <w:lang w:val="el-GR"/>
        </w:rPr>
        <w:t xml:space="preserve">, υπολειπόμενο κατά </w:t>
      </w:r>
      <w:r w:rsidR="0047726F">
        <w:rPr>
          <w:rFonts w:cs="Calibri"/>
          <w:iCs/>
          <w:color w:val="000000"/>
          <w:lang w:val="el-GR"/>
        </w:rPr>
        <w:t>6,2</w:t>
      </w:r>
      <w:r w:rsidRPr="00496867">
        <w:rPr>
          <w:rFonts w:cs="Calibri"/>
          <w:iCs/>
          <w:color w:val="000000"/>
          <w:lang w:val="el-GR"/>
        </w:rPr>
        <w:t xml:space="preserve"> μονάδες του εθνικού στόχου 75% που έχει τεθεί στο πλαίσιο της Στρατηγικής «Ευρώπη 2020». Στους άνδρες, το ποσοστό απασχόλησης ήταν </w:t>
      </w:r>
      <w:r w:rsidR="0047726F">
        <w:rPr>
          <w:rFonts w:cs="Calibri"/>
          <w:iCs/>
          <w:color w:val="000000"/>
          <w:lang w:val="el-GR"/>
        </w:rPr>
        <w:t>73,9%</w:t>
      </w:r>
      <w:r w:rsidRPr="00496867">
        <w:rPr>
          <w:rFonts w:cs="Calibri"/>
          <w:iCs/>
          <w:color w:val="000000"/>
          <w:lang w:val="el-GR"/>
        </w:rPr>
        <w:t xml:space="preserve"> έναντι 64</w:t>
      </w:r>
      <w:r w:rsidR="0047726F">
        <w:rPr>
          <w:rFonts w:cs="Calibri"/>
          <w:iCs/>
          <w:color w:val="000000"/>
          <w:lang w:val="el-GR"/>
        </w:rPr>
        <w:t>,1</w:t>
      </w:r>
      <w:r w:rsidRPr="00496867">
        <w:rPr>
          <w:rFonts w:cs="Calibri"/>
          <w:iCs/>
          <w:color w:val="000000"/>
          <w:lang w:val="el-GR"/>
        </w:rPr>
        <w:t>% των γυναικών.</w:t>
      </w:r>
      <w:r w:rsidR="001833E9">
        <w:rPr>
          <w:rStyle w:val="FootnoteReference"/>
          <w:rFonts w:cs="Calibri"/>
          <w:iCs/>
          <w:color w:val="000000"/>
          <w:lang w:val="el-GR"/>
        </w:rPr>
        <w:footnoteReference w:id="11"/>
      </w:r>
      <w:r w:rsidRPr="00496867">
        <w:rPr>
          <w:rFonts w:cs="Calibri"/>
          <w:iCs/>
          <w:color w:val="000000"/>
          <w:lang w:val="el-GR"/>
        </w:rPr>
        <w:t xml:space="preserve"> </w:t>
      </w:r>
    </w:p>
    <w:p w14:paraId="1F67B5FD" w14:textId="62B87223" w:rsidR="00496867" w:rsidRPr="00496867" w:rsidRDefault="00496867" w:rsidP="007F59D1">
      <w:pPr>
        <w:ind w:left="720"/>
        <w:jc w:val="both"/>
        <w:rPr>
          <w:rFonts w:cs="Calibri"/>
          <w:iCs/>
          <w:color w:val="000000"/>
          <w:lang w:val="el-GR"/>
        </w:rPr>
      </w:pPr>
      <w:r w:rsidRPr="00496867">
        <w:rPr>
          <w:rFonts w:cs="Calibri"/>
          <w:iCs/>
          <w:color w:val="000000"/>
          <w:lang w:val="el-GR"/>
        </w:rPr>
        <w:t xml:space="preserve"> </w:t>
      </w:r>
      <w:r w:rsidR="0047726F">
        <w:rPr>
          <w:rFonts w:cs="Calibri"/>
          <w:iCs/>
          <w:color w:val="000000"/>
          <w:lang w:val="el-GR"/>
        </w:rPr>
        <w:t>Κατά τ</w:t>
      </w:r>
      <w:r w:rsidRPr="00496867">
        <w:rPr>
          <w:rFonts w:cs="Calibri"/>
          <w:iCs/>
          <w:color w:val="000000"/>
          <w:lang w:val="el-GR"/>
        </w:rPr>
        <w:t>ο ίδιο έτος</w:t>
      </w:r>
      <w:r w:rsidR="0047726F">
        <w:rPr>
          <w:rFonts w:cs="Calibri"/>
          <w:iCs/>
          <w:color w:val="000000"/>
          <w:lang w:val="el-GR"/>
        </w:rPr>
        <w:t>,</w:t>
      </w:r>
      <w:r w:rsidRPr="00496867">
        <w:rPr>
          <w:rFonts w:cs="Calibri"/>
          <w:iCs/>
          <w:color w:val="000000"/>
          <w:lang w:val="el-GR"/>
        </w:rPr>
        <w:t xml:space="preserve"> το ποσοστό απασχόλησης της ευρύτερης ηλικιακής ομάδας 15-64 ετών ανέρχονταν στο 63,4% (63% των κυπριακής υπηκοότητας ατόμων και 62,9% των </w:t>
      </w:r>
      <w:bookmarkStart w:id="13" w:name="_Hlk487732522"/>
      <w:r w:rsidRPr="00496867">
        <w:rPr>
          <w:rFonts w:cs="Calibri"/>
          <w:iCs/>
          <w:color w:val="000000"/>
          <w:lang w:val="el-GR"/>
        </w:rPr>
        <w:t>ατόμων υπηκοότητας τρίτων χωρών</w:t>
      </w:r>
      <w:bookmarkEnd w:id="13"/>
      <w:r w:rsidRPr="00496867">
        <w:rPr>
          <w:rFonts w:cs="Calibri"/>
          <w:iCs/>
          <w:color w:val="000000"/>
          <w:lang w:val="el-GR"/>
        </w:rPr>
        <w:t>). Η μερική απασχόληση</w:t>
      </w:r>
      <w:r w:rsidR="00BE2E30">
        <w:rPr>
          <w:rFonts w:cs="Calibri"/>
          <w:iCs/>
          <w:color w:val="000000"/>
          <w:lang w:val="el-GR"/>
        </w:rPr>
        <w:t xml:space="preserve"> το 2016</w:t>
      </w:r>
      <w:r w:rsidRPr="00496867">
        <w:rPr>
          <w:rFonts w:cs="Calibri"/>
          <w:iCs/>
          <w:color w:val="000000"/>
          <w:lang w:val="el-GR"/>
        </w:rPr>
        <w:t>, ως ποσοστό της συνολικής απασχόλησης, σε συνέχεια μιας διαρκούς ανοδικής τάσης οκτώ συνεχόμενων ετών, έχει σταθεροποιηθεί στην περιοχή του 13%. Η μερική απασχόληση των ανδρών είναι 11,3% και των γυναικών 15,6%.</w:t>
      </w:r>
    </w:p>
    <w:p w14:paraId="68BD76A9" w14:textId="05B5A5A0" w:rsidR="00496867" w:rsidRPr="00496867" w:rsidRDefault="00496867" w:rsidP="007F59D1">
      <w:pPr>
        <w:ind w:left="720"/>
        <w:jc w:val="both"/>
        <w:rPr>
          <w:rFonts w:cs="Calibri"/>
          <w:b/>
          <w:iCs/>
          <w:color w:val="000000"/>
          <w:lang w:val="el-GR"/>
        </w:rPr>
      </w:pPr>
      <w:r w:rsidRPr="00496867">
        <w:rPr>
          <w:rFonts w:cs="Calibri"/>
          <w:iCs/>
          <w:color w:val="000000"/>
          <w:lang w:val="el-GR"/>
        </w:rPr>
        <w:t>Οι δείκτες ανεργίας, μετά τις ιστορικά υψηλές τιμές του έτους 2014, παρουσιάζουν υποχώρηση</w:t>
      </w:r>
      <w:r w:rsidR="00F70BF1">
        <w:rPr>
          <w:rFonts w:cs="Calibri"/>
          <w:iCs/>
          <w:color w:val="000000"/>
          <w:lang w:val="el-GR"/>
        </w:rPr>
        <w:t>,</w:t>
      </w:r>
      <w:r w:rsidRPr="00496867">
        <w:rPr>
          <w:rFonts w:cs="Calibri"/>
          <w:iCs/>
          <w:color w:val="000000"/>
          <w:lang w:val="el-GR"/>
        </w:rPr>
        <w:t xml:space="preserve"> σύμφωνα με στοιχεία των Ερευνών Εργατικού Δυναμικού της Στατιστικής Υπηρεσίας της Κύπρου</w:t>
      </w:r>
      <w:r w:rsidR="00F70BF1">
        <w:rPr>
          <w:rFonts w:cs="Calibri"/>
          <w:iCs/>
          <w:color w:val="000000"/>
          <w:lang w:val="el-GR"/>
        </w:rPr>
        <w:t>.</w:t>
      </w:r>
      <w:r w:rsidRPr="00496867">
        <w:rPr>
          <w:rFonts w:cs="Calibri"/>
          <w:iCs/>
          <w:color w:val="000000"/>
          <w:lang w:val="el-GR"/>
        </w:rPr>
        <w:t xml:space="preserve"> </w:t>
      </w:r>
      <w:r w:rsidR="00F70BF1">
        <w:rPr>
          <w:rFonts w:cs="Calibri"/>
          <w:iCs/>
          <w:color w:val="000000"/>
          <w:lang w:val="el-GR"/>
        </w:rPr>
        <w:t>Τ</w:t>
      </w:r>
      <w:r w:rsidRPr="00496867">
        <w:rPr>
          <w:rFonts w:cs="Calibri"/>
          <w:iCs/>
          <w:color w:val="000000"/>
          <w:lang w:val="el-GR"/>
        </w:rPr>
        <w:t>ο 2016 το ποσοστό ανεργίας της ηλικιακής ομάδας 15+ υποχώρησε στο 13% (έναντι 14,9% του 2014)</w:t>
      </w:r>
      <w:r w:rsidR="00F70BF1">
        <w:rPr>
          <w:rFonts w:cs="Calibri"/>
          <w:iCs/>
          <w:color w:val="000000"/>
          <w:lang w:val="el-GR"/>
        </w:rPr>
        <w:t>, ενώ</w:t>
      </w:r>
      <w:r w:rsidRPr="00496867">
        <w:rPr>
          <w:rFonts w:cs="Calibri"/>
          <w:iCs/>
          <w:color w:val="000000"/>
          <w:lang w:val="el-GR"/>
        </w:rPr>
        <w:t xml:space="preserve"> το ποσοστό ανεργίας των νέων έως 24 ετών </w:t>
      </w:r>
      <w:r w:rsidR="00F70BF1">
        <w:rPr>
          <w:rFonts w:cs="Calibri"/>
          <w:iCs/>
          <w:color w:val="000000"/>
          <w:lang w:val="el-GR"/>
        </w:rPr>
        <w:t>, παρά το ότι</w:t>
      </w:r>
      <w:r w:rsidRPr="00496867">
        <w:rPr>
          <w:rFonts w:cs="Calibri"/>
          <w:iCs/>
          <w:color w:val="000000"/>
          <w:lang w:val="el-GR"/>
        </w:rPr>
        <w:t xml:space="preserve"> υποχώρησε στο 29,1% (έναντι 38,9% το 2013), </w:t>
      </w:r>
      <w:r w:rsidR="00F70BF1">
        <w:rPr>
          <w:rFonts w:cs="Calibri"/>
          <w:iCs/>
          <w:color w:val="000000"/>
          <w:lang w:val="el-GR"/>
        </w:rPr>
        <w:t>εξακολουθεί να βρίσκεται</w:t>
      </w:r>
      <w:r w:rsidRPr="00496867">
        <w:rPr>
          <w:rFonts w:cs="Calibri"/>
          <w:iCs/>
          <w:color w:val="000000"/>
          <w:lang w:val="el-GR"/>
        </w:rPr>
        <w:t xml:space="preserve"> σε υψηλά. </w:t>
      </w:r>
      <w:r w:rsidR="00F70BF1" w:rsidRPr="00496867">
        <w:rPr>
          <w:rFonts w:cs="Calibri"/>
          <w:iCs/>
          <w:color w:val="000000"/>
          <w:lang w:val="el-GR"/>
        </w:rPr>
        <w:t>Οι Νέοι εκτός Απασχόλησης, Εκπαίδευσης ή Κατάρτισης (ΕΑΕΚ-NEETs) αντιπροσωπεύουν το 15,9% (2016) των ατόμων ηλικίας 15-24 ετών και για πέντε συναπτά έτη διατηρούνται σε επίπεδα άνω του 15% (EE28, 11,5%).</w:t>
      </w:r>
      <w:r w:rsidR="00F70BF1">
        <w:rPr>
          <w:rFonts w:cs="Calibri"/>
          <w:iCs/>
          <w:color w:val="000000"/>
          <w:lang w:val="el-GR"/>
        </w:rPr>
        <w:t xml:space="preserve"> </w:t>
      </w:r>
      <w:r w:rsidRPr="00496867">
        <w:rPr>
          <w:rFonts w:cs="Calibri"/>
          <w:iCs/>
          <w:color w:val="000000"/>
          <w:lang w:val="el-GR"/>
        </w:rPr>
        <w:t>Η μακροπρόθεσμη ανεργία</w:t>
      </w:r>
      <w:r w:rsidR="00F70BF1">
        <w:rPr>
          <w:rFonts w:cs="Calibri"/>
          <w:iCs/>
          <w:color w:val="000000"/>
          <w:lang w:val="el-GR"/>
        </w:rPr>
        <w:t>,</w:t>
      </w:r>
      <w:r w:rsidRPr="00496867">
        <w:rPr>
          <w:rFonts w:cs="Calibri"/>
          <w:iCs/>
          <w:color w:val="000000"/>
          <w:lang w:val="el-GR"/>
        </w:rPr>
        <w:t xml:space="preserve"> ως ποσοστό στο εργατικό δυναμικό</w:t>
      </w:r>
      <w:r w:rsidR="00F70BF1">
        <w:rPr>
          <w:rFonts w:cs="Calibri"/>
          <w:iCs/>
          <w:color w:val="000000"/>
          <w:lang w:val="el-GR"/>
        </w:rPr>
        <w:t>,</w:t>
      </w:r>
      <w:r w:rsidRPr="00496867">
        <w:rPr>
          <w:rFonts w:cs="Calibri"/>
          <w:iCs/>
          <w:color w:val="000000"/>
          <w:lang w:val="el-GR"/>
        </w:rPr>
        <w:t xml:space="preserve"> </w:t>
      </w:r>
      <w:r w:rsidR="00F70BF1">
        <w:rPr>
          <w:rFonts w:cs="Calibri"/>
          <w:iCs/>
          <w:color w:val="000000"/>
          <w:lang w:val="el-GR"/>
        </w:rPr>
        <w:t>μειώθηκε το</w:t>
      </w:r>
      <w:r w:rsidR="0011218F">
        <w:rPr>
          <w:rFonts w:cs="Calibri"/>
          <w:iCs/>
          <w:color w:val="000000"/>
          <w:lang w:val="el-GR"/>
        </w:rPr>
        <w:t xml:space="preserve"> </w:t>
      </w:r>
      <w:r w:rsidR="00F70BF1">
        <w:rPr>
          <w:rFonts w:cs="Calibri"/>
          <w:iCs/>
          <w:color w:val="000000"/>
          <w:lang w:val="el-GR"/>
        </w:rPr>
        <w:t>2016</w:t>
      </w:r>
      <w:r w:rsidRPr="00496867">
        <w:rPr>
          <w:rFonts w:cs="Calibri"/>
          <w:iCs/>
          <w:color w:val="000000"/>
          <w:lang w:val="el-GR"/>
        </w:rPr>
        <w:t xml:space="preserve"> στο 5,8% (έναντι 7,7% το 2014), αντιπροσωπεύοντας το 44,1% της συνολικής ανεργίας</w:t>
      </w:r>
      <w:r w:rsidR="0011218F">
        <w:rPr>
          <w:rFonts w:cs="Calibri"/>
          <w:iCs/>
          <w:color w:val="000000"/>
          <w:lang w:val="el-GR"/>
        </w:rPr>
        <w:t>:</w:t>
      </w:r>
      <w:r w:rsidRPr="00496867">
        <w:rPr>
          <w:rFonts w:cs="Calibri"/>
          <w:iCs/>
          <w:color w:val="000000"/>
          <w:lang w:val="el-GR"/>
        </w:rPr>
        <w:t xml:space="preserve"> η ανεργία στους άνδρες διαμορφώθηκε στο 12,6%, έναντι 13,5% των γυναικών, </w:t>
      </w:r>
      <w:r w:rsidR="0011218F">
        <w:rPr>
          <w:rFonts w:cs="Calibri"/>
          <w:iCs/>
          <w:color w:val="000000"/>
          <w:lang w:val="el-GR"/>
        </w:rPr>
        <w:t xml:space="preserve">ενώ </w:t>
      </w:r>
      <w:r w:rsidRPr="00496867">
        <w:rPr>
          <w:rFonts w:cs="Calibri"/>
          <w:iCs/>
          <w:color w:val="000000"/>
          <w:lang w:val="el-GR"/>
        </w:rPr>
        <w:t xml:space="preserve">των νέων ανδρών (15-24) στο 25,7% </w:t>
      </w:r>
      <w:r w:rsidR="0011218F">
        <w:rPr>
          <w:rFonts w:cs="Calibri"/>
          <w:iCs/>
          <w:color w:val="000000"/>
          <w:lang w:val="el-GR"/>
        </w:rPr>
        <w:t>έναντι 32,1%</w:t>
      </w:r>
      <w:r w:rsidRPr="00496867">
        <w:rPr>
          <w:rFonts w:cs="Calibri"/>
          <w:iCs/>
          <w:color w:val="000000"/>
          <w:lang w:val="el-GR"/>
        </w:rPr>
        <w:t xml:space="preserve"> των νέων γυναικών στο 32,1%. </w:t>
      </w:r>
    </w:p>
    <w:p w14:paraId="477E23BC" w14:textId="12741AE3" w:rsidR="00496867" w:rsidRPr="00496867" w:rsidRDefault="00EE0283" w:rsidP="007F59D1">
      <w:pPr>
        <w:ind w:left="720"/>
        <w:jc w:val="both"/>
        <w:rPr>
          <w:rFonts w:cs="Calibri"/>
          <w:iCs/>
          <w:color w:val="000000"/>
          <w:highlight w:val="yellow"/>
          <w:lang w:val="el-GR"/>
        </w:rPr>
      </w:pPr>
      <w:r>
        <w:rPr>
          <w:rFonts w:cs="Calibri"/>
          <w:iCs/>
          <w:color w:val="000000"/>
          <w:lang w:val="el-GR"/>
        </w:rPr>
        <w:t>Παρά το γεγονός ότι το</w:t>
      </w:r>
      <w:r w:rsidR="00496867" w:rsidRPr="00496867">
        <w:rPr>
          <w:rFonts w:cs="Calibri"/>
          <w:iCs/>
          <w:color w:val="000000"/>
          <w:lang w:val="el-GR"/>
        </w:rPr>
        <w:t xml:space="preserve"> ποσοστό απασχόλησης αυξάνεται, παραμένει σε μεγάλο βαθμό χαμηλότερο από τις τιμές που σημειώθηκαν κατά την περίοδο πριν την κρίση</w:t>
      </w:r>
      <w:r>
        <w:rPr>
          <w:rFonts w:cs="Calibri"/>
          <w:iCs/>
          <w:color w:val="000000"/>
          <w:lang w:val="el-GR"/>
        </w:rPr>
        <w:t xml:space="preserve"> και </w:t>
      </w:r>
      <w:r w:rsidR="00C32DCB">
        <w:rPr>
          <w:rFonts w:cs="Calibri"/>
          <w:iCs/>
          <w:color w:val="000000"/>
          <w:lang w:val="el-GR"/>
        </w:rPr>
        <w:t>απέχει σημαντικά</w:t>
      </w:r>
      <w:r>
        <w:rPr>
          <w:rFonts w:cs="Calibri"/>
          <w:iCs/>
          <w:color w:val="000000"/>
          <w:lang w:val="el-GR"/>
        </w:rPr>
        <w:t xml:space="preserve"> από τον εθνικό στόχο του 75-77%</w:t>
      </w:r>
      <w:r w:rsidR="00496867" w:rsidRPr="00496867">
        <w:rPr>
          <w:rFonts w:cs="Calibri"/>
          <w:iCs/>
          <w:color w:val="000000"/>
          <w:lang w:val="el-GR"/>
        </w:rPr>
        <w:t xml:space="preserve">. Τα ΕΔΕΤ συμβάλλουν </w:t>
      </w:r>
      <w:r>
        <w:rPr>
          <w:rFonts w:cs="Calibri"/>
          <w:iCs/>
          <w:color w:val="000000"/>
          <w:lang w:val="el-GR"/>
        </w:rPr>
        <w:t>σε αυτό τον στόχο</w:t>
      </w:r>
      <w:r w:rsidR="00496867" w:rsidRPr="00496867">
        <w:rPr>
          <w:rFonts w:cs="Calibri"/>
          <w:iCs/>
          <w:color w:val="000000"/>
          <w:lang w:val="el-GR"/>
        </w:rPr>
        <w:t xml:space="preserve">, είτε </w:t>
      </w:r>
      <w:r>
        <w:rPr>
          <w:rFonts w:cs="Calibri"/>
          <w:iCs/>
          <w:color w:val="000000"/>
          <w:lang w:val="el-GR"/>
        </w:rPr>
        <w:t>άμεσα</w:t>
      </w:r>
      <w:r w:rsidR="00496867" w:rsidRPr="00496867">
        <w:rPr>
          <w:rFonts w:cs="Calibri"/>
          <w:iCs/>
          <w:color w:val="000000"/>
          <w:lang w:val="el-GR"/>
        </w:rPr>
        <w:t xml:space="preserve"> με στοχευμένες δράσεις είτε </w:t>
      </w:r>
      <w:r>
        <w:rPr>
          <w:rFonts w:cs="Calibri"/>
          <w:iCs/>
          <w:color w:val="000000"/>
          <w:lang w:val="el-GR"/>
        </w:rPr>
        <w:t>έμμεσα</w:t>
      </w:r>
      <w:r w:rsidR="00496867" w:rsidRPr="00496867">
        <w:rPr>
          <w:rFonts w:cs="Calibri"/>
          <w:iCs/>
          <w:color w:val="000000"/>
          <w:lang w:val="el-GR"/>
        </w:rPr>
        <w:t xml:space="preserve"> με </w:t>
      </w:r>
      <w:r>
        <w:rPr>
          <w:rFonts w:cs="Calibri"/>
          <w:iCs/>
          <w:color w:val="000000"/>
          <w:lang w:val="el-GR"/>
        </w:rPr>
        <w:t>την υλοποίηση έργων που</w:t>
      </w:r>
      <w:r w:rsidR="00496867" w:rsidRPr="00496867">
        <w:rPr>
          <w:rFonts w:cs="Calibri"/>
          <w:iCs/>
          <w:color w:val="000000"/>
          <w:lang w:val="el-GR"/>
        </w:rPr>
        <w:t xml:space="preserve"> δημιουργούν θέσεις απασχόλησης. Πιο συγκεκριμένα, και εξετάζοντας την άμεση επίπτωση των ΕΔΕΤ, το </w:t>
      </w:r>
      <w:r w:rsidR="00496867" w:rsidRPr="00496867">
        <w:rPr>
          <w:rFonts w:cs="Calibri"/>
          <w:b/>
          <w:iCs/>
          <w:color w:val="000000"/>
          <w:lang w:val="el-GR"/>
        </w:rPr>
        <w:t>ΕΤΠΑ συμβάλει</w:t>
      </w:r>
      <w:r w:rsidR="00496867" w:rsidRPr="00496867">
        <w:rPr>
          <w:rFonts w:cs="Calibri"/>
          <w:iCs/>
          <w:color w:val="000000"/>
          <w:lang w:val="el-GR"/>
        </w:rPr>
        <w:t xml:space="preserve"> στην επίτευξη του εθνικού στόχου για την απασχόληση </w:t>
      </w:r>
      <w:r>
        <w:rPr>
          <w:rFonts w:cs="Calibri"/>
          <w:iCs/>
          <w:color w:val="000000"/>
          <w:lang w:val="el-GR"/>
        </w:rPr>
        <w:t xml:space="preserve">κυρίως </w:t>
      </w:r>
      <w:r w:rsidR="00496867" w:rsidRPr="00496867">
        <w:rPr>
          <w:rFonts w:cs="Calibri"/>
          <w:iCs/>
          <w:color w:val="000000"/>
          <w:lang w:val="el-GR"/>
        </w:rPr>
        <w:t xml:space="preserve">μέσω του Θ.Σ. 3 και των </w:t>
      </w:r>
      <w:r w:rsidR="00334593">
        <w:rPr>
          <w:rFonts w:cs="Calibri"/>
          <w:iCs/>
          <w:color w:val="000000"/>
          <w:lang w:val="el-GR"/>
        </w:rPr>
        <w:t>Σχεδίων Χορηγιών</w:t>
      </w:r>
      <w:r w:rsidR="00496867" w:rsidRPr="00496867">
        <w:rPr>
          <w:rFonts w:cs="Calibri"/>
          <w:iCs/>
          <w:color w:val="000000"/>
          <w:lang w:val="el-GR"/>
        </w:rPr>
        <w:t xml:space="preserve"> που προκηρύχθηκαν </w:t>
      </w:r>
      <w:r w:rsidR="00334593">
        <w:rPr>
          <w:rFonts w:cs="Calibri"/>
          <w:iCs/>
          <w:color w:val="000000"/>
          <w:lang w:val="el-GR"/>
        </w:rPr>
        <w:t>και υλοποιούνται για</w:t>
      </w:r>
      <w:r w:rsidR="00496867" w:rsidRPr="00496867">
        <w:rPr>
          <w:rFonts w:cs="Calibri"/>
          <w:iCs/>
          <w:color w:val="000000"/>
          <w:lang w:val="el-GR"/>
        </w:rPr>
        <w:t xml:space="preserve"> τη νεανική</w:t>
      </w:r>
      <w:r w:rsidR="00334593">
        <w:rPr>
          <w:rFonts w:cs="Calibri"/>
          <w:iCs/>
          <w:color w:val="000000"/>
          <w:lang w:val="el-GR"/>
        </w:rPr>
        <w:t xml:space="preserve"> και τη</w:t>
      </w:r>
      <w:r w:rsidR="00496867" w:rsidRPr="00496867">
        <w:rPr>
          <w:rFonts w:cs="Calibri"/>
          <w:iCs/>
          <w:color w:val="000000"/>
          <w:lang w:val="el-GR"/>
        </w:rPr>
        <w:t xml:space="preserve"> γυναικεία επιχειρηματικότητα</w:t>
      </w:r>
      <w:r w:rsidR="00334593">
        <w:rPr>
          <w:rFonts w:cs="Calibri"/>
          <w:iCs/>
          <w:color w:val="000000"/>
          <w:lang w:val="el-GR"/>
        </w:rPr>
        <w:t>, καθώς</w:t>
      </w:r>
      <w:r w:rsidR="00496867" w:rsidRPr="00496867">
        <w:rPr>
          <w:rFonts w:cs="Calibri"/>
          <w:iCs/>
          <w:color w:val="000000"/>
          <w:lang w:val="el-GR"/>
        </w:rPr>
        <w:t xml:space="preserve"> και </w:t>
      </w:r>
      <w:r w:rsidR="00334593">
        <w:rPr>
          <w:rFonts w:cs="Calibri"/>
          <w:iCs/>
          <w:color w:val="000000"/>
          <w:lang w:val="el-GR"/>
        </w:rPr>
        <w:t xml:space="preserve">για </w:t>
      </w:r>
      <w:r w:rsidR="00496867" w:rsidRPr="00496867">
        <w:rPr>
          <w:rFonts w:cs="Calibri"/>
          <w:iCs/>
          <w:color w:val="000000"/>
          <w:lang w:val="el-GR"/>
        </w:rPr>
        <w:t xml:space="preserve">την ενίσχυση της ανταγωνιστικότητας των </w:t>
      </w:r>
      <w:r>
        <w:rPr>
          <w:rFonts w:cs="Calibri"/>
          <w:iCs/>
          <w:color w:val="000000"/>
          <w:lang w:val="el-GR"/>
        </w:rPr>
        <w:t>ΜΜΕ</w:t>
      </w:r>
      <w:r w:rsidR="00496867" w:rsidRPr="00496867">
        <w:rPr>
          <w:rFonts w:cs="Calibri"/>
          <w:iCs/>
          <w:color w:val="000000"/>
          <w:lang w:val="el-GR"/>
        </w:rPr>
        <w:t xml:space="preserve">, καθώς η προβλεπόμενη αύξηση στην απασχόληση καλύπτει το 53% του τελικού στόχου του Δείκτη Εκροών </w:t>
      </w:r>
      <w:r w:rsidR="00496867" w:rsidRPr="00496867">
        <w:rPr>
          <w:rFonts w:cs="Calibri"/>
          <w:iCs/>
          <w:color w:val="000000"/>
        </w:rPr>
        <w:t>CO</w:t>
      </w:r>
      <w:r w:rsidR="00496867" w:rsidRPr="00496867">
        <w:rPr>
          <w:rFonts w:cs="Calibri"/>
          <w:iCs/>
          <w:color w:val="000000"/>
          <w:lang w:val="el-GR"/>
        </w:rPr>
        <w:t xml:space="preserve">08. Αντίθετα, </w:t>
      </w:r>
      <w:r w:rsidR="00496867" w:rsidRPr="00EE0283">
        <w:rPr>
          <w:rFonts w:cs="Calibri"/>
          <w:iCs/>
          <w:color w:val="000000"/>
          <w:lang w:val="el-GR"/>
        </w:rPr>
        <w:t>το ΕΤΘΑ, μέσω των Μέτρων που έχουν ενεργοποιηθεί μέχρι την 31/12/2016 στους Θ.Σ. 3 και 8, δε</w:t>
      </w:r>
      <w:r w:rsidR="00EB38B1">
        <w:rPr>
          <w:rFonts w:cs="Calibri"/>
          <w:iCs/>
          <w:color w:val="000000"/>
          <w:lang w:val="el-GR"/>
        </w:rPr>
        <w:t>ν</w:t>
      </w:r>
      <w:r w:rsidR="00496867" w:rsidRPr="00EE0283">
        <w:rPr>
          <w:rFonts w:cs="Calibri"/>
          <w:iCs/>
          <w:color w:val="000000"/>
          <w:lang w:val="el-GR"/>
        </w:rPr>
        <w:t xml:space="preserve"> έχει προλάβει να έχει αποτύπωμα στην αύξηση του ποσοστού απασχόλησης, κρίνοντας από τους σχετι</w:t>
      </w:r>
      <w:r w:rsidR="00EB38B1">
        <w:rPr>
          <w:rFonts w:cs="Calibri"/>
          <w:iCs/>
          <w:color w:val="000000"/>
          <w:lang w:val="el-GR"/>
        </w:rPr>
        <w:t>κούς</w:t>
      </w:r>
      <w:r w:rsidR="00496867" w:rsidRPr="00496867">
        <w:rPr>
          <w:rFonts w:cs="Calibri"/>
          <w:iCs/>
          <w:color w:val="000000"/>
          <w:lang w:val="el-GR"/>
        </w:rPr>
        <w:t xml:space="preserve"> Δείκτες Εκροών. Ωστόσο, αξίζει να σημειωθεί ότι προβλέπεται να γίνει τροποποίηση για προσαρμογή στους Δείκτες αποτελέσματος και τους </w:t>
      </w:r>
      <w:r w:rsidR="00496867" w:rsidRPr="00496867">
        <w:rPr>
          <w:rFonts w:cs="Calibri"/>
          <w:iCs/>
          <w:color w:val="000000"/>
          <w:lang w:val="el-GR"/>
        </w:rPr>
        <w:lastRenderedPageBreak/>
        <w:t>στόχους για το 2023</w:t>
      </w:r>
      <w:r w:rsidR="00EB38B1">
        <w:rPr>
          <w:rFonts w:cs="Calibri"/>
          <w:iCs/>
          <w:color w:val="000000"/>
          <w:lang w:val="el-GR"/>
        </w:rPr>
        <w:t>,</w:t>
      </w:r>
      <w:r w:rsidR="00496867" w:rsidRPr="00496867">
        <w:rPr>
          <w:rFonts w:cs="Calibri"/>
          <w:iCs/>
          <w:color w:val="000000"/>
          <w:lang w:val="el-GR"/>
        </w:rPr>
        <w:t xml:space="preserve"> λαμβάνοντας υπόψη και την τελική έκδοση του εγγράφου του </w:t>
      </w:r>
      <w:r w:rsidR="00496867" w:rsidRPr="00496867">
        <w:rPr>
          <w:rFonts w:cs="Calibri"/>
          <w:iCs/>
          <w:color w:val="000000"/>
        </w:rPr>
        <w:t>FAME</w:t>
      </w:r>
      <w:r w:rsidR="00496867" w:rsidRPr="00496867">
        <w:rPr>
          <w:rFonts w:cs="Calibri"/>
          <w:iCs/>
          <w:color w:val="000000"/>
          <w:lang w:val="el-GR"/>
        </w:rPr>
        <w:t xml:space="preserve"> </w:t>
      </w:r>
      <w:r w:rsidR="00496867" w:rsidRPr="00496867">
        <w:rPr>
          <w:rFonts w:cs="Calibri"/>
          <w:iCs/>
          <w:color w:val="000000"/>
        </w:rPr>
        <w:t>Support</w:t>
      </w:r>
      <w:r w:rsidR="00496867" w:rsidRPr="00496867">
        <w:rPr>
          <w:rFonts w:cs="Calibri"/>
          <w:iCs/>
          <w:color w:val="000000"/>
          <w:lang w:val="el-GR"/>
        </w:rPr>
        <w:t xml:space="preserve"> </w:t>
      </w:r>
      <w:r w:rsidR="00496867" w:rsidRPr="00496867">
        <w:rPr>
          <w:rFonts w:cs="Calibri"/>
          <w:iCs/>
          <w:color w:val="000000"/>
        </w:rPr>
        <w:t>Unit</w:t>
      </w:r>
      <w:r w:rsidR="00496867" w:rsidRPr="00496867">
        <w:rPr>
          <w:rFonts w:cs="Calibri"/>
          <w:iCs/>
          <w:color w:val="000000"/>
          <w:lang w:val="el-GR"/>
        </w:rPr>
        <w:t xml:space="preserve"> "</w:t>
      </w:r>
      <w:r w:rsidR="00496867" w:rsidRPr="00496867">
        <w:rPr>
          <w:rFonts w:cs="Calibri"/>
          <w:iCs/>
          <w:color w:val="000000"/>
        </w:rPr>
        <w:t>Definitions</w:t>
      </w:r>
      <w:r w:rsidR="00496867" w:rsidRPr="00496867">
        <w:rPr>
          <w:rFonts w:cs="Calibri"/>
          <w:iCs/>
          <w:color w:val="000000"/>
          <w:lang w:val="el-GR"/>
        </w:rPr>
        <w:t xml:space="preserve"> of Common Indicators".</w:t>
      </w:r>
    </w:p>
    <w:p w14:paraId="4D2DC42E" w14:textId="05E16663" w:rsidR="00496867" w:rsidRPr="00496867" w:rsidRDefault="00496867" w:rsidP="007F59D1">
      <w:pPr>
        <w:ind w:left="720"/>
        <w:jc w:val="both"/>
        <w:rPr>
          <w:rFonts w:cs="Calibri"/>
          <w:iCs/>
          <w:lang w:val="el-GR"/>
        </w:rPr>
      </w:pPr>
      <w:r w:rsidRPr="00496867">
        <w:rPr>
          <w:rFonts w:cs="Calibri"/>
          <w:iCs/>
          <w:lang w:val="el-GR"/>
        </w:rPr>
        <w:t xml:space="preserve">Το </w:t>
      </w:r>
      <w:r w:rsidRPr="00496867">
        <w:rPr>
          <w:rFonts w:cs="Calibri"/>
          <w:b/>
          <w:iCs/>
          <w:lang w:val="el-GR"/>
        </w:rPr>
        <w:t>ΕΚΤ</w:t>
      </w:r>
      <w:r w:rsidRPr="00496867">
        <w:rPr>
          <w:rFonts w:cs="Calibri"/>
          <w:iCs/>
          <w:lang w:val="el-GR"/>
        </w:rPr>
        <w:t xml:space="preserve"> συμβάλει άμεσα στην επίτευξη του εθνικού στόχου για την απασχόληση μέσω του </w:t>
      </w:r>
      <w:r w:rsidRPr="00EB38B1">
        <w:rPr>
          <w:rFonts w:cs="Calibri"/>
          <w:iCs/>
          <w:lang w:val="el-GR"/>
        </w:rPr>
        <w:t>Θ.Σ. 8</w:t>
      </w:r>
      <w:r w:rsidRPr="00496867">
        <w:rPr>
          <w:rFonts w:cs="Calibri"/>
          <w:iCs/>
          <w:lang w:val="el-GR"/>
        </w:rPr>
        <w:t xml:space="preserve"> και </w:t>
      </w:r>
      <w:r w:rsidR="00334593">
        <w:rPr>
          <w:rFonts w:cs="Calibri"/>
          <w:iCs/>
          <w:lang w:val="el-GR"/>
        </w:rPr>
        <w:t>των</w:t>
      </w:r>
      <w:r w:rsidRPr="00496867">
        <w:rPr>
          <w:rFonts w:cs="Calibri"/>
          <w:iCs/>
          <w:lang w:val="el-GR"/>
        </w:rPr>
        <w:t xml:space="preserve"> τριών Σχεδίων Χορηγιών που </w:t>
      </w:r>
      <w:r w:rsidR="00334593">
        <w:rPr>
          <w:rFonts w:cs="Calibri"/>
          <w:iCs/>
          <w:lang w:val="el-GR"/>
        </w:rPr>
        <w:t>προκηρύχθηκαν, τα οποία</w:t>
      </w:r>
      <w:r w:rsidRPr="00496867">
        <w:rPr>
          <w:rFonts w:cs="Calibri"/>
          <w:iCs/>
          <w:lang w:val="el-GR"/>
        </w:rPr>
        <w:t xml:space="preserve"> αφορούν στην παροχή κινήτρων για την εργοδότηση ανέργων (συμπεριλαμβανομένων των μακροχρόνια ανέργων και των άνεργων νέων μέχρι 25 ετών) και την επιδότηση της πρακτικής κατάρτισης συνδυασμένης με επιδότηση της εργοδότησης</w:t>
      </w:r>
      <w:r w:rsidR="00334593">
        <w:rPr>
          <w:rFonts w:cs="Calibri"/>
          <w:iCs/>
          <w:lang w:val="el-GR"/>
        </w:rPr>
        <w:t>,</w:t>
      </w:r>
      <w:r w:rsidRPr="00496867">
        <w:rPr>
          <w:rFonts w:cs="Calibri"/>
          <w:iCs/>
          <w:lang w:val="el-GR"/>
        </w:rPr>
        <w:t xml:space="preserve"> αλλά και </w:t>
      </w:r>
      <w:r w:rsidR="00334593">
        <w:rPr>
          <w:rFonts w:cs="Calibri"/>
          <w:iCs/>
          <w:lang w:val="el-GR"/>
        </w:rPr>
        <w:t xml:space="preserve">των </w:t>
      </w:r>
      <w:r w:rsidRPr="00496867">
        <w:rPr>
          <w:rFonts w:cs="Calibri"/>
          <w:iCs/>
          <w:lang w:val="el-GR"/>
        </w:rPr>
        <w:t>2 έργων για την τοποθέτηση άνεργων νέων πτυχιούχων και απόφοιτων δευτεροβάθμιας και μεταδευτεροβάθμιας εκπαίδευσης για απόκτηση Εργασιακής Πείρας σε Επιχειρήσεις/ Οργανισμούς.</w:t>
      </w:r>
    </w:p>
    <w:p w14:paraId="6FCBED3A" w14:textId="3321AA66" w:rsidR="00496867" w:rsidRPr="00496867" w:rsidRDefault="00496867" w:rsidP="007F59D1">
      <w:pPr>
        <w:ind w:left="720"/>
        <w:jc w:val="both"/>
        <w:rPr>
          <w:rFonts w:cs="Calibri"/>
          <w:iCs/>
          <w:lang w:val="el-GR"/>
        </w:rPr>
      </w:pPr>
      <w:r w:rsidRPr="00496867">
        <w:rPr>
          <w:rFonts w:cs="Calibri"/>
          <w:iCs/>
          <w:lang w:val="el-GR"/>
        </w:rPr>
        <w:t xml:space="preserve">Αν και τα Σχέδια Χορηγιών για την εργοδότηση ανέργων (συμπεριλαμβανομένων των μακροχρόνια ανέργων) άρχισαν να υλοποιούνται κατά τα έτη 2014 και 2015, ο μεγάλος όγκος του αριθμού, των εργασιών αξιολόγησης και συνολικά </w:t>
      </w:r>
      <w:r w:rsidR="00334593">
        <w:rPr>
          <w:rFonts w:cs="Calibri"/>
          <w:iCs/>
          <w:lang w:val="el-GR"/>
        </w:rPr>
        <w:t xml:space="preserve">της </w:t>
      </w:r>
      <w:r w:rsidRPr="00496867">
        <w:rPr>
          <w:rFonts w:cs="Calibri"/>
          <w:iCs/>
          <w:lang w:val="el-GR"/>
        </w:rPr>
        <w:t xml:space="preserve">διαχείρισης των αιτήσεων των εν λόγω Σχεδίων δεν επέτρεψε την καταχώρηση των απαιτούμενων στοιχείων στο ΟΠΣ, συμπεριλαμβανομένων των δεικτών παρακολούθησης, με αποτέλεσμα ο δείκτης εκροών του πλαισίου επίδοσης CO01 Άνεργοι, συμπεριλαμβανομένων των μακροχρόνια ανέργων, να έχει μηδενική επίδοση </w:t>
      </w:r>
      <w:r w:rsidR="00334593">
        <w:rPr>
          <w:rFonts w:cs="Calibri"/>
          <w:iCs/>
          <w:lang w:val="el-GR"/>
        </w:rPr>
        <w:t>σ</w:t>
      </w:r>
      <w:r w:rsidRPr="00496867">
        <w:rPr>
          <w:rFonts w:cs="Calibri"/>
          <w:iCs/>
          <w:lang w:val="el-GR"/>
        </w:rPr>
        <w:t>τις 31/12/2016. Αντίθετα η ολοκλήρωση εντός του 2016 των δυο έργων για την τοποθέτηση άνεργων νέων πτυχιούχων και απόφοιτων δευτεροβάθμιας και μεταδευτεροβάθμιας εκπαίδευσης για απόκτηση Εργασιακής Πείρας σε Επιχειρήσεις/ Οργανισμούς καθόρισε θετικά την πρόοδο υλοποίησης των δύο δεικτών εκροών του πλαισίου επίδοσης (</w:t>
      </w:r>
      <w:r w:rsidRPr="00496867">
        <w:rPr>
          <w:lang w:val="el-GR"/>
        </w:rPr>
        <w:t>Ε8221 &amp; Ε8222)</w:t>
      </w:r>
      <w:r w:rsidRPr="00496867">
        <w:rPr>
          <w:rFonts w:cs="Calibri"/>
          <w:iCs/>
          <w:lang w:val="el-GR"/>
        </w:rPr>
        <w:t xml:space="preserve"> με συνολικά </w:t>
      </w:r>
      <w:r w:rsidRPr="00334593">
        <w:rPr>
          <w:rFonts w:cs="Calibri"/>
          <w:iCs/>
          <w:lang w:val="el-GR"/>
        </w:rPr>
        <w:t>3.416</w:t>
      </w:r>
      <w:r w:rsidRPr="00496867">
        <w:rPr>
          <w:rFonts w:cs="Calibri"/>
          <w:iCs/>
          <w:lang w:val="el-GR"/>
        </w:rPr>
        <w:t xml:space="preserve"> άνεργους έως 29 ετών να έχουν συμμετάσχει σε προγράμματα τοποθέτησης σε Επιχειρήσεις/ Οργανισμούς για απόκτηση Εργασιακής Πείρας. Ένα ακόμα Σχέδιο Παροχής Κινήτρων για την Εργοδότηση Ανέργων Νέων μέχρι 25 ετών που ξεκίνησε το Νοέμβριο του 2016 και υλοποιείται σε διακριτούς κύκλους (προσκλήσεις), αναμένεται στο επόμενο διάστημα να συμβάλει στην περαιτέρω βελτίωση της επίδοσης του εθνικού στόχου για την απασχόληση. Ακόμα πιο θετική θα είναι η επίδραση του έργου «Εκσυγχρονισμός/ Ενίσχυση της Δημόσιας Υπηρεσίας Απασχόλησης», το οποίο θα ξεκινήσει το 2017, καθώς η ΔΥΑ κατέχει κομβικό ρόλο στην εφαρμογή ενεργητικών πολιτικών για την απασχόληση. </w:t>
      </w:r>
    </w:p>
    <w:p w14:paraId="7D58C613" w14:textId="74B3BC1B" w:rsidR="00496867" w:rsidRPr="00496867" w:rsidRDefault="00496867" w:rsidP="007F59D1">
      <w:pPr>
        <w:ind w:left="720"/>
        <w:jc w:val="both"/>
        <w:rPr>
          <w:rFonts w:cs="Calibri"/>
          <w:iCs/>
          <w:color w:val="000000"/>
          <w:lang w:val="el-GR"/>
        </w:rPr>
      </w:pPr>
      <w:r w:rsidRPr="00496867">
        <w:rPr>
          <w:rFonts w:cs="Calibri"/>
          <w:iCs/>
          <w:color w:val="000000"/>
          <w:lang w:val="el-GR"/>
        </w:rPr>
        <w:t xml:space="preserve">Τέλος, το </w:t>
      </w:r>
      <w:r w:rsidRPr="00496867">
        <w:rPr>
          <w:rFonts w:cs="Calibri"/>
          <w:b/>
          <w:iCs/>
          <w:color w:val="000000"/>
          <w:lang w:val="el-GR"/>
        </w:rPr>
        <w:t>ΕΓΤΑΑ</w:t>
      </w:r>
      <w:r w:rsidRPr="00496867">
        <w:rPr>
          <w:rFonts w:cs="Calibri"/>
          <w:iCs/>
          <w:color w:val="000000"/>
          <w:lang w:val="el-GR"/>
        </w:rPr>
        <w:t xml:space="preserve"> </w:t>
      </w:r>
      <w:r w:rsidR="00334593">
        <w:rPr>
          <w:rFonts w:cs="Calibri"/>
          <w:iCs/>
          <w:color w:val="000000"/>
          <w:lang w:val="el-GR"/>
        </w:rPr>
        <w:t xml:space="preserve">παρουσιάζει </w:t>
      </w:r>
      <w:r w:rsidRPr="00496867">
        <w:rPr>
          <w:rFonts w:cs="Calibri"/>
          <w:iCs/>
          <w:color w:val="000000"/>
          <w:lang w:val="el-GR"/>
        </w:rPr>
        <w:t xml:space="preserve">μέχρι </w:t>
      </w:r>
      <w:r w:rsidR="00334593">
        <w:rPr>
          <w:rFonts w:cs="Calibri"/>
          <w:iCs/>
          <w:color w:val="000000"/>
          <w:lang w:val="el-GR"/>
        </w:rPr>
        <w:t>τις</w:t>
      </w:r>
      <w:r w:rsidRPr="00496867">
        <w:rPr>
          <w:rFonts w:cs="Calibri"/>
          <w:iCs/>
          <w:color w:val="000000"/>
          <w:lang w:val="el-GR"/>
        </w:rPr>
        <w:t xml:space="preserve"> 31/12/2016  μικρή άμεση συμβολή στην αύξηση του ποσοστού απασχόλησης, κυρίως μέσω της υλοποίησης των </w:t>
      </w:r>
      <w:r w:rsidRPr="00334593">
        <w:rPr>
          <w:rFonts w:cs="Calibri"/>
          <w:iCs/>
          <w:color w:val="000000"/>
          <w:lang w:val="el-GR"/>
        </w:rPr>
        <w:t>μεταβατικών έργων πρώτης εγκατάστασης νέων αγροτών</w:t>
      </w:r>
      <w:r w:rsidR="00334593" w:rsidRPr="00334593">
        <w:rPr>
          <w:rFonts w:cs="Calibri"/>
          <w:iCs/>
          <w:color w:val="000000"/>
          <w:lang w:val="el-GR"/>
        </w:rPr>
        <w:t>,</w:t>
      </w:r>
      <w:r w:rsidRPr="00496867">
        <w:rPr>
          <w:rFonts w:cs="Calibri"/>
          <w:iCs/>
          <w:color w:val="000000"/>
          <w:lang w:val="el-GR"/>
        </w:rPr>
        <w:t xml:space="preserve"> που αφορούσαν 11 άνδρες και 3 γυναίκες</w:t>
      </w:r>
      <w:r w:rsidR="00334593">
        <w:rPr>
          <w:rFonts w:cs="Calibri"/>
          <w:iCs/>
          <w:color w:val="000000"/>
          <w:lang w:val="el-GR"/>
        </w:rPr>
        <w:t>,</w:t>
      </w:r>
      <w:r w:rsidRPr="00496867">
        <w:rPr>
          <w:rFonts w:cs="Calibri"/>
          <w:iCs/>
          <w:color w:val="000000"/>
          <w:lang w:val="el-GR"/>
        </w:rPr>
        <w:t xml:space="preserve"> και της δημιουργίας περιορισμένων θέσεων εργασίας στο πλαίσιο του </w:t>
      </w:r>
      <w:r w:rsidRPr="00334593">
        <w:rPr>
          <w:rFonts w:cs="Calibri"/>
          <w:iCs/>
          <w:color w:val="000000"/>
          <w:lang w:val="el-GR"/>
        </w:rPr>
        <w:t>Μέτρου 4.2</w:t>
      </w:r>
      <w:r w:rsidRPr="00496867">
        <w:rPr>
          <w:rFonts w:cs="Calibri"/>
          <w:iCs/>
          <w:color w:val="000000"/>
          <w:lang w:val="el-GR"/>
        </w:rPr>
        <w:t xml:space="preserve"> </w:t>
      </w:r>
      <w:bookmarkStart w:id="14" w:name="_Hlk488045567"/>
      <w:r w:rsidRPr="00496867">
        <w:rPr>
          <w:rFonts w:cs="Calibri"/>
          <w:iCs/>
          <w:color w:val="000000"/>
          <w:lang w:val="el-GR"/>
        </w:rPr>
        <w:t xml:space="preserve">«Επενδύσεις μεταποίησης» </w:t>
      </w:r>
      <w:bookmarkEnd w:id="14"/>
      <w:r w:rsidRPr="00496867">
        <w:rPr>
          <w:rFonts w:cs="Calibri"/>
          <w:iCs/>
          <w:color w:val="000000"/>
          <w:lang w:val="el-GR"/>
        </w:rPr>
        <w:t xml:space="preserve">και του </w:t>
      </w:r>
      <w:r w:rsidRPr="00334593">
        <w:rPr>
          <w:rFonts w:cs="Calibri"/>
          <w:iCs/>
          <w:color w:val="000000"/>
          <w:lang w:val="el-GR"/>
        </w:rPr>
        <w:t>Μέτρου 19</w:t>
      </w:r>
      <w:r w:rsidRPr="00496867">
        <w:rPr>
          <w:rFonts w:cs="Calibri"/>
          <w:iCs/>
          <w:color w:val="000000"/>
          <w:lang w:val="el-GR"/>
        </w:rPr>
        <w:t xml:space="preserve"> «Στήριξη για την τοπική ανάπτυξη μέσω LEADER». Τα λοιπά επενδυτικά Μέτρα του Προγράμματος έχουν πολύ χαμηλό ποσοστό ολοκληρωμένων έργων και προς το παρόν δεν τεκμηριώνεται καθαρή συνεισφορά στην απασχόληση.</w:t>
      </w:r>
    </w:p>
    <w:p w14:paraId="51B3B86B" w14:textId="441A3F44" w:rsidR="00496867" w:rsidRPr="00327398" w:rsidRDefault="00496867" w:rsidP="001D583B">
      <w:pPr>
        <w:numPr>
          <w:ilvl w:val="0"/>
          <w:numId w:val="13"/>
        </w:numPr>
        <w:jc w:val="both"/>
        <w:rPr>
          <w:rFonts w:cs="Calibri"/>
          <w:b/>
          <w:iCs/>
          <w:color w:val="000000"/>
          <w:lang w:val="el-GR"/>
        </w:rPr>
      </w:pPr>
      <w:r w:rsidRPr="00496867">
        <w:rPr>
          <w:rFonts w:cs="Calibri"/>
          <w:b/>
          <w:iCs/>
          <w:color w:val="000000"/>
          <w:lang w:val="el-GR"/>
        </w:rPr>
        <w:t xml:space="preserve">Έρευνα και </w:t>
      </w:r>
      <w:r w:rsidR="00334593">
        <w:rPr>
          <w:rFonts w:cs="Calibri"/>
          <w:b/>
          <w:iCs/>
          <w:color w:val="000000"/>
          <w:lang w:val="el-GR"/>
        </w:rPr>
        <w:t>Α</w:t>
      </w:r>
      <w:r w:rsidRPr="00496867">
        <w:rPr>
          <w:rFonts w:cs="Calibri"/>
          <w:b/>
          <w:iCs/>
          <w:color w:val="000000"/>
          <w:lang w:val="el-GR"/>
        </w:rPr>
        <w:t>νάπτυξη</w:t>
      </w:r>
      <w:r w:rsidR="00334593">
        <w:rPr>
          <w:rFonts w:cs="Calibri"/>
          <w:b/>
          <w:iCs/>
          <w:color w:val="000000"/>
          <w:lang w:val="el-GR"/>
        </w:rPr>
        <w:t xml:space="preserve"> (Ε&amp;Α)</w:t>
      </w:r>
      <w:r w:rsidRPr="00496867">
        <w:rPr>
          <w:rFonts w:cs="Calibri"/>
          <w:b/>
          <w:iCs/>
          <w:color w:val="000000"/>
          <w:lang w:val="el-GR"/>
        </w:rPr>
        <w:t xml:space="preserve">: </w:t>
      </w:r>
      <w:r w:rsidRPr="00496867">
        <w:rPr>
          <w:rFonts w:cs="Calibri"/>
          <w:iCs/>
          <w:color w:val="000000"/>
          <w:lang w:val="el-GR"/>
        </w:rPr>
        <w:t xml:space="preserve">Η Ακαθάριστη Εγχώρια Δαπάνη </w:t>
      </w:r>
      <w:r w:rsidR="00334593">
        <w:rPr>
          <w:rFonts w:cs="Calibri"/>
          <w:iCs/>
          <w:color w:val="000000"/>
          <w:lang w:val="el-GR"/>
        </w:rPr>
        <w:t xml:space="preserve">σε Ε&amp;Α ανήλθε </w:t>
      </w:r>
      <w:r w:rsidRPr="00496867">
        <w:rPr>
          <w:rFonts w:cs="Calibri"/>
          <w:iCs/>
          <w:color w:val="000000"/>
          <w:lang w:val="el-GR"/>
        </w:rPr>
        <w:t xml:space="preserve">το 2015 στο 0,46% του ΑΕΠ, έναντι 0,50% της εθνικής τιμής στόχου της Στρατηγικής Ε2020. Ο τομέας της Ε&amp;Α στην Κύπρο συγκεντρώνει ιδιαίτερα χαρακτηριστικά και βρίσκεται σε εκκολαπτόμενο επίπεδο, γεγονός το οποίο ελήφθη υπόψη για την οριοθέτηση του στόχου στο </w:t>
      </w:r>
      <w:r w:rsidR="00334593">
        <w:rPr>
          <w:rFonts w:cs="Calibri"/>
          <w:iCs/>
          <w:color w:val="000000"/>
          <w:lang w:val="el-GR"/>
        </w:rPr>
        <w:t>0,</w:t>
      </w:r>
      <w:r w:rsidRPr="00496867">
        <w:rPr>
          <w:rFonts w:cs="Calibri"/>
          <w:iCs/>
          <w:color w:val="000000"/>
          <w:lang w:val="el-GR"/>
        </w:rPr>
        <w:t xml:space="preserve">50% του ΑΕΠ. Το μικρό μέγεθος της ερευνητικής κοινότητας αλλά και η έλλειψη  μεγάλων </w:t>
      </w:r>
      <w:r w:rsidR="00BA04CD">
        <w:rPr>
          <w:rFonts w:cs="Calibri"/>
          <w:iCs/>
          <w:color w:val="000000"/>
          <w:lang w:val="el-GR"/>
        </w:rPr>
        <w:t>βιομηχανιών</w:t>
      </w:r>
      <w:r w:rsidRPr="00496867">
        <w:rPr>
          <w:rFonts w:cs="Calibri"/>
          <w:iCs/>
          <w:color w:val="000000"/>
          <w:lang w:val="el-GR"/>
        </w:rPr>
        <w:t xml:space="preserve"> στην Κύπρο, ικανών να επενδύσουν </w:t>
      </w:r>
      <w:r w:rsidR="00BA04CD">
        <w:rPr>
          <w:rFonts w:cs="Calibri"/>
          <w:iCs/>
          <w:color w:val="000000"/>
          <w:lang w:val="el-GR"/>
        </w:rPr>
        <w:t xml:space="preserve">σημαντικά ποσά </w:t>
      </w:r>
      <w:r w:rsidRPr="00496867">
        <w:rPr>
          <w:rFonts w:cs="Calibri"/>
          <w:iCs/>
          <w:color w:val="000000"/>
          <w:lang w:val="el-GR"/>
        </w:rPr>
        <w:t>σ</w:t>
      </w:r>
      <w:r w:rsidR="00BA04CD">
        <w:rPr>
          <w:rFonts w:cs="Calibri"/>
          <w:iCs/>
          <w:color w:val="000000"/>
          <w:lang w:val="el-GR"/>
        </w:rPr>
        <w:t>ε</w:t>
      </w:r>
      <w:r w:rsidRPr="00496867">
        <w:rPr>
          <w:rFonts w:cs="Calibri"/>
          <w:iCs/>
          <w:color w:val="000000"/>
          <w:lang w:val="el-GR"/>
        </w:rPr>
        <w:t xml:space="preserve"> Ε&amp;Α, καθηλώνει </w:t>
      </w:r>
      <w:r w:rsidR="00BA04CD">
        <w:rPr>
          <w:rFonts w:cs="Calibri"/>
          <w:iCs/>
          <w:color w:val="000000"/>
          <w:lang w:val="el-GR"/>
        </w:rPr>
        <w:t>τις ιδιωτικές δαπάνες Ε&amp;Α</w:t>
      </w:r>
      <w:r w:rsidRPr="00496867">
        <w:rPr>
          <w:rFonts w:cs="Calibri"/>
          <w:iCs/>
          <w:color w:val="000000"/>
          <w:lang w:val="el-GR"/>
        </w:rPr>
        <w:t xml:space="preserve"> σε χαμηλά επίπεδα</w:t>
      </w:r>
      <w:r w:rsidR="0089738D">
        <w:rPr>
          <w:rFonts w:cs="Calibri"/>
          <w:iCs/>
          <w:color w:val="000000"/>
          <w:lang w:val="el-GR"/>
        </w:rPr>
        <w:t xml:space="preserve"> </w:t>
      </w:r>
      <w:r w:rsidR="0089738D" w:rsidRPr="00B95BD2">
        <w:rPr>
          <w:rFonts w:cs="Calibri"/>
          <w:iCs/>
          <w:color w:val="000000"/>
          <w:lang w:val="el-GR"/>
        </w:rPr>
        <w:t>(</w:t>
      </w:r>
      <w:r w:rsidR="00C32DCB" w:rsidRPr="00B95BD2">
        <w:rPr>
          <w:rFonts w:cs="Calibri"/>
          <w:iCs/>
          <w:color w:val="000000"/>
          <w:lang w:val="el-GR"/>
        </w:rPr>
        <w:t>περί</w:t>
      </w:r>
      <w:r w:rsidR="0089738D" w:rsidRPr="00B95BD2">
        <w:rPr>
          <w:rFonts w:cs="Calibri"/>
          <w:iCs/>
          <w:color w:val="000000"/>
          <w:lang w:val="el-GR"/>
        </w:rPr>
        <w:t xml:space="preserve"> το </w:t>
      </w:r>
      <w:r w:rsidR="00E20D9D" w:rsidRPr="00B95BD2">
        <w:rPr>
          <w:rFonts w:cs="Calibri"/>
          <w:iCs/>
          <w:color w:val="000000"/>
          <w:lang w:val="el-GR"/>
        </w:rPr>
        <w:t>0,08</w:t>
      </w:r>
      <w:r w:rsidR="0089738D" w:rsidRPr="00B95BD2">
        <w:rPr>
          <w:rFonts w:cs="Calibri"/>
          <w:iCs/>
          <w:color w:val="000000"/>
          <w:lang w:val="el-GR"/>
        </w:rPr>
        <w:t>%)</w:t>
      </w:r>
      <w:r w:rsidRPr="00B95BD2">
        <w:rPr>
          <w:rFonts w:cs="Calibri"/>
          <w:iCs/>
          <w:color w:val="000000"/>
          <w:lang w:val="el-GR"/>
        </w:rPr>
        <w:t xml:space="preserve">, με αποτέλεσμα να υπάρχει πολύ υψηλός βαθμός εξάρτησης από την </w:t>
      </w:r>
      <w:r w:rsidRPr="00B95BD2">
        <w:rPr>
          <w:rFonts w:cs="Calibri"/>
          <w:iCs/>
          <w:color w:val="000000"/>
          <w:lang w:val="el-GR"/>
        </w:rPr>
        <w:lastRenderedPageBreak/>
        <w:t>κρατική συνεισφορά</w:t>
      </w:r>
      <w:r w:rsidR="0089738D" w:rsidRPr="00B95BD2">
        <w:rPr>
          <w:rFonts w:cs="Calibri"/>
          <w:iCs/>
          <w:color w:val="000000"/>
          <w:lang w:val="el-GR"/>
        </w:rPr>
        <w:t xml:space="preserve"> (γύρω στο </w:t>
      </w:r>
      <w:r w:rsidR="00E20D9D" w:rsidRPr="00B95BD2">
        <w:rPr>
          <w:rFonts w:cs="Calibri"/>
          <w:iCs/>
          <w:color w:val="000000"/>
          <w:lang w:val="el-GR"/>
        </w:rPr>
        <w:t>67,4</w:t>
      </w:r>
      <w:r w:rsidR="0089738D" w:rsidRPr="00B95BD2">
        <w:rPr>
          <w:rFonts w:cs="Calibri"/>
          <w:iCs/>
          <w:color w:val="000000"/>
          <w:lang w:val="el-GR"/>
        </w:rPr>
        <w:t>%)</w:t>
      </w:r>
      <w:r w:rsidR="00B95BD2">
        <w:rPr>
          <w:rFonts w:cs="Calibri"/>
          <w:iCs/>
          <w:color w:val="000000"/>
          <w:lang w:val="el-GR"/>
        </w:rPr>
        <w:t>,</w:t>
      </w:r>
      <w:r w:rsidR="00E20D9D" w:rsidRPr="00B95BD2">
        <w:rPr>
          <w:rFonts w:cs="Calibri"/>
          <w:iCs/>
          <w:color w:val="000000"/>
          <w:lang w:val="el-GR"/>
        </w:rPr>
        <w:t xml:space="preserve"> καθώς</w:t>
      </w:r>
      <w:r w:rsidR="00E20D9D">
        <w:rPr>
          <w:rFonts w:cs="Calibri"/>
          <w:iCs/>
          <w:color w:val="000000"/>
          <w:lang w:val="el-GR"/>
        </w:rPr>
        <w:t xml:space="preserve"> η δημόσια ένταση Ε&amp;Α αντιπροσώπευε το 0,31% του ΑΕΠ</w:t>
      </w:r>
      <w:r w:rsidRPr="00496867">
        <w:rPr>
          <w:rFonts w:cs="Calibri"/>
          <w:iCs/>
          <w:color w:val="000000"/>
          <w:lang w:val="el-GR"/>
        </w:rPr>
        <w:t>.</w:t>
      </w:r>
      <w:r w:rsidRPr="00327398">
        <w:rPr>
          <w:rFonts w:cs="Calibri"/>
          <w:iCs/>
          <w:color w:val="000000"/>
          <w:lang w:val="el-GR"/>
        </w:rPr>
        <w:t xml:space="preserve"> Ως εκ τούτου, η δημοσιονομική προσαρμογή της Κυπριακής οικονομίας και </w:t>
      </w:r>
      <w:r w:rsidR="00566FB1">
        <w:rPr>
          <w:rFonts w:cs="Calibri"/>
          <w:iCs/>
          <w:color w:val="000000"/>
          <w:lang w:val="el-GR"/>
        </w:rPr>
        <w:t>ο περιορισμός</w:t>
      </w:r>
      <w:r w:rsidRPr="00327398">
        <w:rPr>
          <w:rFonts w:cs="Calibri"/>
          <w:iCs/>
          <w:color w:val="000000"/>
          <w:lang w:val="el-GR"/>
        </w:rPr>
        <w:t xml:space="preserve"> των δημοσίων δαπανών ήταν επόμενο να επηρεάσουν αρνητικά το επίπεδο δαπανών για Ε&amp;Α. </w:t>
      </w:r>
    </w:p>
    <w:p w14:paraId="76B6C1E6" w14:textId="146D15D1" w:rsidR="00496867" w:rsidRPr="00566FB1" w:rsidRDefault="00496867" w:rsidP="007F59D1">
      <w:pPr>
        <w:ind w:left="720"/>
        <w:jc w:val="both"/>
        <w:rPr>
          <w:rFonts w:cs="Calibri"/>
          <w:iCs/>
          <w:color w:val="000000"/>
          <w:lang w:val="el-GR"/>
        </w:rPr>
      </w:pPr>
      <w:r w:rsidRPr="00566FB1">
        <w:rPr>
          <w:rFonts w:cs="Calibri"/>
          <w:iCs/>
          <w:color w:val="000000"/>
          <w:lang w:val="el-GR"/>
        </w:rPr>
        <w:t xml:space="preserve">Μεταξύ των μέτρων που ελήφθησαν για τόνωση των δαπανών σε Ε&amp;Α ήταν και οι δράσεις που προκηρύχθηκαν με χρηματοδότηση από τους πόρους του ΕΤΠΑ και αφορούν </w:t>
      </w:r>
      <w:r w:rsidR="00566FB1">
        <w:rPr>
          <w:rFonts w:cs="Calibri"/>
          <w:iCs/>
          <w:color w:val="000000"/>
          <w:lang w:val="el-GR"/>
        </w:rPr>
        <w:t>σ</w:t>
      </w:r>
      <w:r w:rsidRPr="00566FB1">
        <w:rPr>
          <w:rFonts w:cs="Calibri"/>
          <w:iCs/>
          <w:color w:val="000000"/>
          <w:lang w:val="el-GR"/>
        </w:rPr>
        <w:t xml:space="preserve">την ενίσχυση της έρευνας και της καινοτομίας σε τομείς όπου η χώρα διατηρεί συγκριτικό πλεονέκτημα, όπως αυτοί έχουν </w:t>
      </w:r>
      <w:r w:rsidR="00566FB1">
        <w:rPr>
          <w:rFonts w:cs="Calibri"/>
          <w:iCs/>
          <w:color w:val="000000"/>
          <w:lang w:val="el-GR"/>
        </w:rPr>
        <w:t>καθ</w:t>
      </w:r>
      <w:r w:rsidRPr="00566FB1">
        <w:rPr>
          <w:rFonts w:cs="Calibri"/>
          <w:iCs/>
          <w:color w:val="000000"/>
          <w:lang w:val="el-GR"/>
        </w:rPr>
        <w:t>οριστεί στη</w:t>
      </w:r>
      <w:r w:rsidR="00566FB1">
        <w:rPr>
          <w:rFonts w:cs="Calibri"/>
          <w:iCs/>
          <w:color w:val="000000"/>
          <w:lang w:val="el-GR"/>
        </w:rPr>
        <w:t xml:space="preserve"> Στρατηγική</w:t>
      </w:r>
      <w:r w:rsidRPr="00566FB1">
        <w:rPr>
          <w:rFonts w:cs="Calibri"/>
          <w:iCs/>
          <w:color w:val="000000"/>
          <w:lang w:val="el-GR"/>
        </w:rPr>
        <w:t xml:space="preserve"> Έξυπνη</w:t>
      </w:r>
      <w:r w:rsidR="00566FB1">
        <w:rPr>
          <w:rFonts w:cs="Calibri"/>
          <w:iCs/>
          <w:color w:val="000000"/>
          <w:lang w:val="el-GR"/>
        </w:rPr>
        <w:t>ς</w:t>
      </w:r>
      <w:r w:rsidRPr="00566FB1">
        <w:rPr>
          <w:rFonts w:cs="Calibri"/>
          <w:iCs/>
          <w:color w:val="000000"/>
          <w:lang w:val="el-GR"/>
        </w:rPr>
        <w:t xml:space="preserve"> Εξειδίκευση</w:t>
      </w:r>
      <w:r w:rsidR="00566FB1">
        <w:rPr>
          <w:rFonts w:cs="Calibri"/>
          <w:iCs/>
          <w:color w:val="000000"/>
          <w:lang w:val="el-GR"/>
        </w:rPr>
        <w:t>ς</w:t>
      </w:r>
      <w:r w:rsidRPr="00566FB1">
        <w:rPr>
          <w:rFonts w:cs="Calibri"/>
          <w:iCs/>
          <w:color w:val="000000"/>
          <w:lang w:val="el-GR"/>
        </w:rPr>
        <w:t>. Ωστόσο, η ανυπαρξία ενταγμένων έργων σε αυτές τις δράσεις</w:t>
      </w:r>
      <w:r w:rsidR="00566FB1">
        <w:rPr>
          <w:rFonts w:cs="Calibri"/>
          <w:iCs/>
          <w:color w:val="000000"/>
          <w:lang w:val="el-GR"/>
        </w:rPr>
        <w:t xml:space="preserve"> μέχρι τις 31/12/16</w:t>
      </w:r>
      <w:r w:rsidRPr="00566FB1">
        <w:rPr>
          <w:rFonts w:cs="Calibri"/>
          <w:iCs/>
          <w:color w:val="000000"/>
          <w:lang w:val="el-GR"/>
        </w:rPr>
        <w:t xml:space="preserve"> (Προγράμματα </w:t>
      </w:r>
      <w:r w:rsidRPr="00566FB1">
        <w:rPr>
          <w:rFonts w:cs="Calibri"/>
          <w:iCs/>
          <w:color w:val="000000"/>
        </w:rPr>
        <w:t>Restart</w:t>
      </w:r>
      <w:r w:rsidRPr="00566FB1">
        <w:rPr>
          <w:rFonts w:cs="Calibri"/>
          <w:iCs/>
          <w:color w:val="000000"/>
          <w:lang w:val="el-GR"/>
        </w:rPr>
        <w:t xml:space="preserve"> και Δράσεις ενίσχυσης της επιχειρηματικής καινοτομίας) δηλώνει τη μηδενική συνεισφορά του ΕΤΠΑ στην προσπάθεια επίτευξης του Εθνικού στόχου, γεγονός που </w:t>
      </w:r>
      <w:r w:rsidR="00055EC4">
        <w:rPr>
          <w:rFonts w:cs="Calibri"/>
          <w:iCs/>
          <w:color w:val="000000"/>
          <w:lang w:val="el-GR"/>
        </w:rPr>
        <w:t>αντικατοπτρίζεται</w:t>
      </w:r>
      <w:r w:rsidRPr="00566FB1">
        <w:rPr>
          <w:rFonts w:cs="Calibri"/>
          <w:iCs/>
          <w:color w:val="000000"/>
          <w:lang w:val="el-GR"/>
        </w:rPr>
        <w:t xml:space="preserve"> και στο σχετικό δείκτη εκροών CO27 που αφορά </w:t>
      </w:r>
      <w:r w:rsidR="00DB60F0">
        <w:rPr>
          <w:rFonts w:cs="Calibri"/>
          <w:iCs/>
          <w:color w:val="000000"/>
          <w:lang w:val="el-GR"/>
        </w:rPr>
        <w:t>σ</w:t>
      </w:r>
      <w:r w:rsidRPr="00566FB1">
        <w:rPr>
          <w:rFonts w:cs="Calibri"/>
          <w:iCs/>
          <w:color w:val="000000"/>
          <w:lang w:val="el-GR"/>
        </w:rPr>
        <w:t xml:space="preserve">τις επιχειρηματικές επενδύσεις </w:t>
      </w:r>
      <w:r w:rsidR="00DB60F0">
        <w:rPr>
          <w:rFonts w:cs="Calibri"/>
          <w:iCs/>
          <w:color w:val="000000"/>
          <w:lang w:val="el-GR"/>
        </w:rPr>
        <w:t>σε</w:t>
      </w:r>
      <w:r w:rsidRPr="00566FB1">
        <w:rPr>
          <w:rFonts w:cs="Calibri"/>
          <w:iCs/>
          <w:color w:val="000000"/>
          <w:lang w:val="el-GR"/>
        </w:rPr>
        <w:t xml:space="preserve"> Ε&amp;Κ με μηδενική τιμή. Επιπλέον πρόκληση για την επίτευξη του Εθνικού Στόχου, αποτελεί η ανάγκη για βελτίωση στην παρακολούθηση και αξιολόγηση του τρόπου με τον οποίο κατευθύνεται στρατηγικά και διαρθρώνεται η δημόσια έρευνα καθώς και η οικοδόμηση ενός ισχυρότερου συστήματος πολιτικής της Ε&amp;Α με μεγαλύτερη συμμετοχή του ιδιωτικού τομέα.</w:t>
      </w:r>
    </w:p>
    <w:p w14:paraId="2957396D" w14:textId="5355C700" w:rsidR="00496867" w:rsidRPr="00496867" w:rsidRDefault="00496867" w:rsidP="007F59D1">
      <w:pPr>
        <w:ind w:left="720"/>
        <w:jc w:val="both"/>
        <w:rPr>
          <w:rFonts w:cs="Calibri"/>
          <w:b/>
          <w:iCs/>
          <w:color w:val="000000"/>
          <w:lang w:val="el-GR"/>
        </w:rPr>
      </w:pPr>
      <w:r w:rsidRPr="00566FB1">
        <w:rPr>
          <w:rFonts w:cs="Calibri"/>
          <w:iCs/>
          <w:lang w:val="el-GR"/>
        </w:rPr>
        <w:t>Στο πλαίσιο του Ε</w:t>
      </w:r>
      <w:r w:rsidR="00055EC4">
        <w:rPr>
          <w:rFonts w:cs="Calibri"/>
          <w:iCs/>
          <w:lang w:val="el-GR"/>
        </w:rPr>
        <w:t>Γ</w:t>
      </w:r>
      <w:r w:rsidRPr="00566FB1">
        <w:rPr>
          <w:rFonts w:cs="Calibri"/>
          <w:iCs/>
          <w:lang w:val="el-GR"/>
        </w:rPr>
        <w:t xml:space="preserve">ΤΑΑ, το σχετικό Μέτρο 16 «Συνεργασία», που περιλαμβάνει μεταξύ άλλων </w:t>
      </w:r>
      <w:r w:rsidR="00055EC4">
        <w:rPr>
          <w:rFonts w:cs="Calibri"/>
          <w:iCs/>
          <w:lang w:val="el-GR"/>
        </w:rPr>
        <w:t>το κ</w:t>
      </w:r>
      <w:r w:rsidRPr="00566FB1">
        <w:rPr>
          <w:rFonts w:cs="Calibri"/>
          <w:iCs/>
          <w:lang w:val="el-GR"/>
        </w:rPr>
        <w:t>αθεστώς που θα στηρίξει τη σύσταση Επιχειρησιακών Ομάδων, δεν έχει ενεργοποιηθεί.</w:t>
      </w:r>
    </w:p>
    <w:p w14:paraId="1242E45D" w14:textId="2A12B9FA" w:rsidR="00496867" w:rsidRPr="00496867" w:rsidRDefault="00496867" w:rsidP="001D583B">
      <w:pPr>
        <w:numPr>
          <w:ilvl w:val="0"/>
          <w:numId w:val="13"/>
        </w:numPr>
        <w:jc w:val="both"/>
        <w:rPr>
          <w:rFonts w:cs="Calibri"/>
          <w:iCs/>
          <w:color w:val="000000"/>
          <w:lang w:val="el-GR"/>
        </w:rPr>
      </w:pPr>
      <w:r w:rsidRPr="00496867">
        <w:rPr>
          <w:rFonts w:cs="Calibri"/>
          <w:b/>
          <w:iCs/>
          <w:color w:val="000000"/>
          <w:lang w:val="el-GR"/>
        </w:rPr>
        <w:t>Ανανεώσιμες Πηγές Ενέργειας</w:t>
      </w:r>
      <w:r w:rsidR="008A34F9">
        <w:rPr>
          <w:rFonts w:cs="Calibri"/>
          <w:b/>
          <w:iCs/>
          <w:color w:val="000000"/>
          <w:lang w:val="el-GR"/>
        </w:rPr>
        <w:t xml:space="preserve"> (ΑΠΕ)</w:t>
      </w:r>
      <w:r w:rsidRPr="00496867">
        <w:rPr>
          <w:rFonts w:cs="Calibri"/>
          <w:b/>
          <w:iCs/>
          <w:color w:val="000000"/>
          <w:lang w:val="el-GR"/>
        </w:rPr>
        <w:t xml:space="preserve">: </w:t>
      </w:r>
      <w:r w:rsidRPr="00496867">
        <w:rPr>
          <w:rFonts w:cs="Calibri"/>
          <w:iCs/>
          <w:color w:val="000000"/>
          <w:lang w:val="el-GR"/>
        </w:rPr>
        <w:t xml:space="preserve">με μερίδιο </w:t>
      </w:r>
      <w:r w:rsidR="008A34F9">
        <w:rPr>
          <w:rFonts w:cs="Calibri"/>
          <w:iCs/>
          <w:color w:val="000000"/>
          <w:lang w:val="el-GR"/>
        </w:rPr>
        <w:t>ΑΠΕ</w:t>
      </w:r>
      <w:r w:rsidRPr="00496867">
        <w:rPr>
          <w:rFonts w:cs="Calibri"/>
          <w:iCs/>
          <w:color w:val="000000"/>
          <w:lang w:val="el-GR"/>
        </w:rPr>
        <w:t xml:space="preserve"> της τάξης του 9,43% το 2015 η Κύπρος βρίσκεται σε τροχιά επίτευξης του στόχου </w:t>
      </w:r>
      <w:r w:rsidR="008A34F9">
        <w:rPr>
          <w:rFonts w:cs="Calibri"/>
          <w:iCs/>
          <w:color w:val="000000"/>
          <w:lang w:val="el-GR"/>
        </w:rPr>
        <w:t xml:space="preserve">του 13% </w:t>
      </w:r>
      <w:r w:rsidRPr="00496867">
        <w:rPr>
          <w:rFonts w:cs="Calibri"/>
          <w:iCs/>
          <w:color w:val="000000"/>
          <w:lang w:val="el-GR"/>
        </w:rPr>
        <w:t>για το 2020. Το Εθνικό Σχέδιο Δράσης περιλαμβάνει σειρά παρεμβάσεων και μέτρων που προβλέπεται να εφαρμοστούν μέχρι το 2020</w:t>
      </w:r>
      <w:r w:rsidR="008A34F9">
        <w:rPr>
          <w:rFonts w:cs="Calibri"/>
          <w:iCs/>
          <w:color w:val="000000"/>
          <w:lang w:val="el-GR"/>
        </w:rPr>
        <w:t xml:space="preserve"> προς επίτευξη του εθνικού στόχου, κάποιες από τις οποίους θα υλοποιηθούν</w:t>
      </w:r>
      <w:r w:rsidRPr="00496867">
        <w:rPr>
          <w:rFonts w:cs="Calibri"/>
          <w:iCs/>
          <w:color w:val="000000"/>
          <w:lang w:val="el-GR"/>
        </w:rPr>
        <w:t xml:space="preserve"> μέσω των ΕΔΕΤ. </w:t>
      </w:r>
    </w:p>
    <w:p w14:paraId="2B3F8E7E" w14:textId="21EC047B" w:rsidR="00496867" w:rsidRPr="00496867" w:rsidRDefault="00496867" w:rsidP="007F59D1">
      <w:pPr>
        <w:ind w:left="720"/>
        <w:jc w:val="both"/>
        <w:rPr>
          <w:rFonts w:cs="Calibri"/>
          <w:iCs/>
          <w:color w:val="000000"/>
          <w:lang w:val="el-GR"/>
        </w:rPr>
      </w:pPr>
      <w:r w:rsidRPr="00496867">
        <w:rPr>
          <w:rFonts w:cs="Calibri"/>
          <w:iCs/>
          <w:color w:val="000000"/>
          <w:lang w:val="el-GR"/>
        </w:rPr>
        <w:t xml:space="preserve">Κατά τη διετία 2015-2016, </w:t>
      </w:r>
      <w:r w:rsidRPr="00496867">
        <w:rPr>
          <w:rFonts w:cs="Calibri"/>
          <w:b/>
          <w:iCs/>
          <w:color w:val="000000"/>
          <w:lang w:val="el-GR"/>
        </w:rPr>
        <w:t>μέσω του ΕΤΠΑ και του Ταμείου Συνοχής</w:t>
      </w:r>
      <w:r w:rsidRPr="00496867">
        <w:rPr>
          <w:rFonts w:cs="Calibri"/>
          <w:iCs/>
          <w:color w:val="000000"/>
          <w:lang w:val="el-GR"/>
        </w:rPr>
        <w:t xml:space="preserve"> έχουν προκηρυχθεί οι δράσεις εξοικονόμησης ενέργειας σε επιχειρήσεις και κατοικίες</w:t>
      </w:r>
      <w:r w:rsidR="00081825" w:rsidRPr="00496867">
        <w:rPr>
          <w:rFonts w:cs="Calibri"/>
          <w:iCs/>
          <w:color w:val="000000"/>
          <w:lang w:val="el-GR"/>
        </w:rPr>
        <w:t xml:space="preserve"> αντίστοιχα</w:t>
      </w:r>
      <w:r w:rsidRPr="00496867">
        <w:rPr>
          <w:rFonts w:cs="Calibri"/>
          <w:iCs/>
          <w:color w:val="000000"/>
          <w:lang w:val="el-GR"/>
        </w:rPr>
        <w:t xml:space="preserve">, μέσω των οποίων επιδιώκεται η βελτίωση της ενεργειακής απόδοσης και η αύξηση της χρήσης ΑΠΕ. Ωστόσο, ο χαμηλός βαθμός ωρίμανσης των παρεμβάσεων μέχρι </w:t>
      </w:r>
      <w:r w:rsidR="00B56540">
        <w:rPr>
          <w:rFonts w:cs="Calibri"/>
          <w:iCs/>
          <w:color w:val="000000"/>
          <w:lang w:val="el-GR"/>
        </w:rPr>
        <w:t>τις</w:t>
      </w:r>
      <w:r w:rsidRPr="00496867">
        <w:rPr>
          <w:rFonts w:cs="Calibri"/>
          <w:iCs/>
          <w:color w:val="000000"/>
          <w:lang w:val="el-GR"/>
        </w:rPr>
        <w:t xml:space="preserve"> 31/12/2016 δεν επιτρέπουν ασφαλή εκτίμηση του επιπέδου συμβολής τους στον Εθνικό Στόχο. </w:t>
      </w:r>
      <w:r w:rsidR="008A34F9">
        <w:rPr>
          <w:rFonts w:cs="Calibri"/>
          <w:iCs/>
          <w:color w:val="000000"/>
          <w:lang w:val="el-GR"/>
        </w:rPr>
        <w:t xml:space="preserve">Ως εκ τούτου, κρίνεται αναγκαία η επιτάχυνση της υλοποίησης των προγραμματισμένων έργων, έτσι ώστε να διασφαλιστεί όσο το δυνατό περισσότερο η επίτευξη του εθνικού στόχου του2020 για </w:t>
      </w:r>
      <w:r w:rsidR="00C32DCB">
        <w:rPr>
          <w:rFonts w:cs="Calibri"/>
          <w:iCs/>
          <w:color w:val="000000"/>
          <w:lang w:val="el-GR"/>
        </w:rPr>
        <w:t xml:space="preserve">την αύξηση της χρήσης </w:t>
      </w:r>
      <w:r w:rsidR="008A34F9">
        <w:rPr>
          <w:rFonts w:cs="Calibri"/>
          <w:iCs/>
          <w:color w:val="000000"/>
          <w:lang w:val="el-GR"/>
        </w:rPr>
        <w:t>ΑΠΕ.</w:t>
      </w:r>
    </w:p>
    <w:p w14:paraId="404A2EEC" w14:textId="4086C70C" w:rsidR="00496867" w:rsidRPr="00496867" w:rsidRDefault="00496867" w:rsidP="007F59D1">
      <w:pPr>
        <w:ind w:left="720"/>
        <w:jc w:val="both"/>
        <w:rPr>
          <w:rFonts w:cs="Calibri"/>
          <w:iCs/>
          <w:color w:val="000000"/>
          <w:lang w:val="el-GR"/>
        </w:rPr>
      </w:pPr>
      <w:r w:rsidRPr="00496867">
        <w:rPr>
          <w:rFonts w:cs="Calibri"/>
          <w:iCs/>
          <w:color w:val="000000"/>
          <w:lang w:val="el-GR"/>
        </w:rPr>
        <w:t xml:space="preserve">Επίσης, μία σημαντική παράμετρος για την επίτευξη του Εθνικού Στόχου αποτελεί </w:t>
      </w:r>
      <w:r w:rsidRPr="00F81049">
        <w:rPr>
          <w:rFonts w:cs="Calibri"/>
          <w:iCs/>
          <w:color w:val="000000"/>
          <w:lang w:val="el-GR"/>
        </w:rPr>
        <w:t>ο τομέας των μεταφορών.</w:t>
      </w:r>
      <w:r w:rsidRPr="00496867">
        <w:rPr>
          <w:rFonts w:cs="Calibri"/>
          <w:iCs/>
          <w:color w:val="000000"/>
          <w:lang w:val="el-GR"/>
        </w:rPr>
        <w:t xml:space="preserve"> Με μερίδιο 2,43% το 2014, η Κύπρος υστερεί όσον αφορά </w:t>
      </w:r>
      <w:r w:rsidR="00081825">
        <w:rPr>
          <w:rFonts w:cs="Calibri"/>
          <w:iCs/>
          <w:color w:val="000000"/>
          <w:lang w:val="el-GR"/>
        </w:rPr>
        <w:t>σ</w:t>
      </w:r>
      <w:r w:rsidRPr="00496867">
        <w:rPr>
          <w:rFonts w:cs="Calibri"/>
          <w:iCs/>
          <w:color w:val="000000"/>
          <w:lang w:val="el-GR"/>
        </w:rPr>
        <w:t xml:space="preserve">τη χρήση </w:t>
      </w:r>
      <w:r w:rsidR="00081825">
        <w:rPr>
          <w:rFonts w:cs="Calibri"/>
          <w:iCs/>
          <w:color w:val="000000"/>
          <w:lang w:val="el-GR"/>
        </w:rPr>
        <w:t>ΑΠΕ</w:t>
      </w:r>
      <w:r w:rsidRPr="00496867">
        <w:rPr>
          <w:rFonts w:cs="Calibri"/>
          <w:iCs/>
          <w:color w:val="000000"/>
          <w:lang w:val="el-GR"/>
        </w:rPr>
        <w:t xml:space="preserve"> </w:t>
      </w:r>
      <w:r w:rsidRPr="00F81049">
        <w:rPr>
          <w:rFonts w:cs="Calibri"/>
          <w:iCs/>
          <w:color w:val="000000"/>
          <w:lang w:val="el-GR"/>
        </w:rPr>
        <w:t>στις μεταφορές</w:t>
      </w:r>
      <w:r w:rsidRPr="00496867">
        <w:rPr>
          <w:rFonts w:cs="Calibri"/>
          <w:iCs/>
          <w:color w:val="000000"/>
          <w:lang w:val="el-GR"/>
        </w:rPr>
        <w:t xml:space="preserve">, </w:t>
      </w:r>
      <w:r w:rsidR="00081825">
        <w:rPr>
          <w:rFonts w:cs="Calibri"/>
          <w:iCs/>
          <w:color w:val="000000"/>
          <w:lang w:val="el-GR"/>
        </w:rPr>
        <w:t>και στο παρόν στάδιο φαίνεται δύσκολο</w:t>
      </w:r>
      <w:r w:rsidRPr="00496867">
        <w:rPr>
          <w:rFonts w:cs="Calibri"/>
          <w:iCs/>
          <w:color w:val="000000"/>
          <w:lang w:val="el-GR"/>
        </w:rPr>
        <w:t xml:space="preserve"> να επιτύχει το δεσμευτικό στόχο του 10% </w:t>
      </w:r>
      <w:r w:rsidR="00081825" w:rsidRPr="00496867">
        <w:rPr>
          <w:rFonts w:cs="Calibri"/>
          <w:iCs/>
          <w:color w:val="000000"/>
          <w:lang w:val="el-GR"/>
        </w:rPr>
        <w:t xml:space="preserve">έως το 2020 </w:t>
      </w:r>
      <w:r w:rsidRPr="00496867">
        <w:rPr>
          <w:rFonts w:cs="Calibri"/>
          <w:iCs/>
          <w:color w:val="000000"/>
          <w:lang w:val="el-GR"/>
        </w:rPr>
        <w:t xml:space="preserve">(σύμφωνα με το άρθρο 3(4) της Οδηγίας 2009/28/ΕΚ). </w:t>
      </w:r>
      <w:r w:rsidRPr="00F81049">
        <w:rPr>
          <w:rFonts w:cs="Calibri"/>
          <w:iCs/>
          <w:color w:val="000000"/>
          <w:lang w:val="el-GR"/>
        </w:rPr>
        <w:t xml:space="preserve">Η προώθηση </w:t>
      </w:r>
      <w:r w:rsidR="00F81049">
        <w:rPr>
          <w:rFonts w:cs="Calibri"/>
          <w:iCs/>
          <w:color w:val="000000"/>
          <w:lang w:val="el-GR"/>
        </w:rPr>
        <w:t xml:space="preserve">της </w:t>
      </w:r>
      <w:r w:rsidRPr="00F81049">
        <w:rPr>
          <w:rFonts w:cs="Calibri"/>
          <w:iCs/>
          <w:color w:val="000000"/>
          <w:lang w:val="el-GR"/>
        </w:rPr>
        <w:t>χρήσης ΑΠΕ στις μεταφορές προβλέπεται στο πλαίσιο του ΕΤΠΑ,</w:t>
      </w:r>
      <w:r w:rsidRPr="00496867">
        <w:rPr>
          <w:rFonts w:cs="Calibri"/>
          <w:iCs/>
          <w:color w:val="000000"/>
          <w:lang w:val="el-GR"/>
        </w:rPr>
        <w:t xml:space="preserve"> χωρίς μέχρι στιγμής να έχει προκηρυχθεί κάποια σχετική δράση.</w:t>
      </w:r>
    </w:p>
    <w:p w14:paraId="78F6E195" w14:textId="1F7C52D9" w:rsidR="00496867" w:rsidRPr="00496867" w:rsidRDefault="00496867" w:rsidP="007F59D1">
      <w:pPr>
        <w:ind w:left="720"/>
        <w:jc w:val="both"/>
        <w:rPr>
          <w:rFonts w:cs="Calibri"/>
          <w:iCs/>
          <w:color w:val="000000"/>
          <w:lang w:val="el-GR"/>
        </w:rPr>
      </w:pPr>
      <w:r w:rsidRPr="00496867">
        <w:rPr>
          <w:rFonts w:cs="Calibri"/>
          <w:iCs/>
          <w:color w:val="000000"/>
          <w:lang w:val="el-GR"/>
        </w:rPr>
        <w:t xml:space="preserve">Όσον αφορά στη </w:t>
      </w:r>
      <w:r w:rsidRPr="00496867">
        <w:rPr>
          <w:rFonts w:cs="Calibri"/>
          <w:b/>
          <w:iCs/>
          <w:color w:val="000000"/>
          <w:lang w:val="el-GR"/>
        </w:rPr>
        <w:t>συμβολή του ΕΤΘΑ</w:t>
      </w:r>
      <w:r w:rsidRPr="00496867">
        <w:rPr>
          <w:rFonts w:cs="Calibri"/>
          <w:iCs/>
          <w:color w:val="000000"/>
          <w:lang w:val="el-GR"/>
        </w:rPr>
        <w:t xml:space="preserve">, μέχρι </w:t>
      </w:r>
      <w:r w:rsidR="00B1326D">
        <w:rPr>
          <w:rFonts w:cs="Calibri"/>
          <w:iCs/>
          <w:color w:val="000000"/>
          <w:lang w:val="el-GR"/>
        </w:rPr>
        <w:t>τις</w:t>
      </w:r>
      <w:r w:rsidRPr="00496867">
        <w:rPr>
          <w:rFonts w:cs="Calibri"/>
          <w:iCs/>
          <w:color w:val="000000"/>
          <w:lang w:val="el-GR"/>
        </w:rPr>
        <w:t xml:space="preserve"> 31/12/2016 δεν είχαν ενεργοποιηθεί πόροι που να συνδέονται με την επίτευξη αυτού του Εθνικού Στόχου</w:t>
      </w:r>
      <w:r w:rsidR="00C32DCB" w:rsidRPr="00B95BD2">
        <w:rPr>
          <w:rFonts w:cs="Calibri"/>
          <w:iCs/>
          <w:color w:val="000000"/>
          <w:lang w:val="el-GR"/>
        </w:rPr>
        <w:t>.</w:t>
      </w:r>
      <w:r w:rsidRPr="00496867">
        <w:rPr>
          <w:rFonts w:cs="Calibri"/>
          <w:iCs/>
          <w:color w:val="000000"/>
          <w:lang w:val="el-GR"/>
        </w:rPr>
        <w:t xml:space="preserve"> </w:t>
      </w:r>
      <w:r w:rsidR="00E20D9D">
        <w:rPr>
          <w:rFonts w:cs="Calibri"/>
          <w:iCs/>
          <w:color w:val="000000"/>
          <w:lang w:val="el-GR"/>
        </w:rPr>
        <w:t xml:space="preserve">Μέσω του Ε.Π. «Θάλασσα» 2014-2020 αναμένεται η προώθηση της χρήσης </w:t>
      </w:r>
      <w:r w:rsidR="00B95BD2">
        <w:rPr>
          <w:rFonts w:cs="Calibri"/>
          <w:iCs/>
          <w:color w:val="000000"/>
          <w:lang w:val="el-GR"/>
        </w:rPr>
        <w:t>ΑΠΕ</w:t>
      </w:r>
      <w:r w:rsidR="00E20D9D">
        <w:rPr>
          <w:rFonts w:cs="Calibri"/>
          <w:iCs/>
          <w:color w:val="000000"/>
          <w:lang w:val="el-GR"/>
        </w:rPr>
        <w:t xml:space="preserve"> </w:t>
      </w:r>
      <w:r w:rsidR="00C32DCB">
        <w:rPr>
          <w:rFonts w:cs="Calibri"/>
          <w:iCs/>
          <w:color w:val="000000"/>
          <w:lang w:val="el-GR"/>
        </w:rPr>
        <w:t>στο πλαίσιο</w:t>
      </w:r>
      <w:r w:rsidR="00E20D9D">
        <w:rPr>
          <w:rFonts w:cs="Calibri"/>
          <w:iCs/>
          <w:color w:val="000000"/>
          <w:lang w:val="el-GR"/>
        </w:rPr>
        <w:t xml:space="preserve"> της προσέγγισης </w:t>
      </w:r>
      <w:r w:rsidR="00E20D9D">
        <w:rPr>
          <w:rFonts w:cs="Calibri"/>
          <w:iCs/>
          <w:color w:val="000000"/>
        </w:rPr>
        <w:t>CLLD</w:t>
      </w:r>
      <w:r w:rsidR="00E20D9D" w:rsidRPr="00215334">
        <w:rPr>
          <w:rFonts w:cs="Calibri"/>
          <w:iCs/>
          <w:color w:val="000000"/>
          <w:lang w:val="el-GR"/>
        </w:rPr>
        <w:t xml:space="preserve"> </w:t>
      </w:r>
      <w:r w:rsidR="00E20D9D">
        <w:rPr>
          <w:rFonts w:cs="Calibri"/>
          <w:iCs/>
          <w:color w:val="000000"/>
          <w:lang w:val="el-GR"/>
        </w:rPr>
        <w:t xml:space="preserve">και των </w:t>
      </w:r>
      <w:r w:rsidR="00C32DCB">
        <w:rPr>
          <w:rFonts w:cs="Calibri"/>
          <w:iCs/>
          <w:color w:val="000000"/>
          <w:lang w:val="el-GR"/>
        </w:rPr>
        <w:t xml:space="preserve">σχετικών </w:t>
      </w:r>
      <w:r w:rsidR="00E20D9D">
        <w:rPr>
          <w:rFonts w:cs="Calibri"/>
          <w:iCs/>
          <w:color w:val="000000"/>
          <w:lang w:val="el-GR"/>
        </w:rPr>
        <w:t xml:space="preserve">Δράσεων που </w:t>
      </w:r>
      <w:r w:rsidR="00C32DCB">
        <w:rPr>
          <w:rFonts w:cs="Calibri"/>
          <w:iCs/>
          <w:color w:val="000000"/>
          <w:lang w:val="el-GR"/>
        </w:rPr>
        <w:t>αναμένεται να</w:t>
      </w:r>
      <w:r w:rsidR="00E20D9D">
        <w:rPr>
          <w:rFonts w:cs="Calibri"/>
          <w:iCs/>
          <w:color w:val="000000"/>
          <w:lang w:val="el-GR"/>
        </w:rPr>
        <w:t xml:space="preserve"> ενταχθούν στις Στρατηγικές Τοπικής Ανάπτυξης των «Τοπικών Ομάδων Δράσης Αλιείας»</w:t>
      </w:r>
      <w:r w:rsidR="00C32DCB">
        <w:rPr>
          <w:rFonts w:cs="Calibri"/>
          <w:iCs/>
          <w:color w:val="000000"/>
          <w:lang w:val="el-GR"/>
        </w:rPr>
        <w:t>.</w:t>
      </w:r>
      <w:r w:rsidR="00E20D9D">
        <w:rPr>
          <w:rFonts w:cs="Calibri"/>
          <w:iCs/>
          <w:color w:val="000000"/>
          <w:lang w:val="el-GR"/>
        </w:rPr>
        <w:t xml:space="preserve"> Επίσης, μέσω του Μέτρου 1 </w:t>
      </w:r>
      <w:r w:rsidR="00B95BD2">
        <w:rPr>
          <w:rFonts w:cs="Calibri"/>
          <w:iCs/>
          <w:color w:val="000000"/>
          <w:lang w:val="el-GR"/>
        </w:rPr>
        <w:t>(</w:t>
      </w:r>
      <w:r w:rsidR="00E20D9D">
        <w:rPr>
          <w:rFonts w:cs="Calibri"/>
          <w:iCs/>
          <w:color w:val="000000"/>
          <w:lang w:val="el-GR"/>
        </w:rPr>
        <w:t xml:space="preserve">Άρθρο 48, παράγραφος 1, στοιχείο ια) </w:t>
      </w:r>
      <w:r w:rsidR="00E20D9D">
        <w:rPr>
          <w:rFonts w:cs="Calibri"/>
          <w:iCs/>
          <w:color w:val="000000"/>
          <w:lang w:val="el-GR"/>
        </w:rPr>
        <w:lastRenderedPageBreak/>
        <w:t>αναμένεται η ενθάρρυνση παραγωγικών επενδύσεων στην υδατοκαλλιέργεια</w:t>
      </w:r>
      <w:r w:rsidR="00C32DCB">
        <w:rPr>
          <w:rFonts w:cs="Calibri"/>
          <w:iCs/>
          <w:color w:val="000000"/>
          <w:lang w:val="el-GR"/>
        </w:rPr>
        <w:t>,</w:t>
      </w:r>
      <w:r w:rsidR="00E20D9D">
        <w:rPr>
          <w:rFonts w:cs="Calibri"/>
          <w:iCs/>
          <w:color w:val="000000"/>
          <w:lang w:val="el-GR"/>
        </w:rPr>
        <w:t xml:space="preserve"> που ως στόχο έχουν την αύξηση της ενεργειακής απόδοσης και την προώθηση των </w:t>
      </w:r>
      <w:r w:rsidR="00B95BD2">
        <w:rPr>
          <w:rFonts w:cs="Calibri"/>
          <w:iCs/>
          <w:color w:val="000000"/>
          <w:lang w:val="el-GR"/>
        </w:rPr>
        <w:t>ΑΠΕ</w:t>
      </w:r>
      <w:r w:rsidR="00E20D9D">
        <w:rPr>
          <w:rFonts w:cs="Calibri"/>
          <w:iCs/>
          <w:color w:val="000000"/>
          <w:lang w:val="el-GR"/>
        </w:rPr>
        <w:t>.</w:t>
      </w:r>
    </w:p>
    <w:p w14:paraId="323906C4" w14:textId="63383D20" w:rsidR="00496867" w:rsidRPr="00496867" w:rsidRDefault="005A7D8E" w:rsidP="007F59D1">
      <w:pPr>
        <w:ind w:left="720"/>
        <w:jc w:val="both"/>
        <w:rPr>
          <w:rFonts w:cs="Calibri"/>
          <w:iCs/>
          <w:lang w:val="el-GR"/>
        </w:rPr>
      </w:pPr>
      <w:r>
        <w:rPr>
          <w:rFonts w:cs="Calibri"/>
          <w:iCs/>
          <w:lang w:val="el-GR"/>
        </w:rPr>
        <w:t>Ομοίως</w:t>
      </w:r>
      <w:r w:rsidR="00496867" w:rsidRPr="00496867">
        <w:rPr>
          <w:rFonts w:cs="Calibri"/>
          <w:iCs/>
          <w:lang w:val="el-GR"/>
        </w:rPr>
        <w:t xml:space="preserve">, στο πλαίσιο του </w:t>
      </w:r>
      <w:r w:rsidR="00496867" w:rsidRPr="00496867">
        <w:rPr>
          <w:rFonts w:cs="Calibri"/>
          <w:b/>
          <w:iCs/>
          <w:lang w:val="el-GR"/>
        </w:rPr>
        <w:t>Ε</w:t>
      </w:r>
      <w:r>
        <w:rPr>
          <w:rFonts w:cs="Calibri"/>
          <w:b/>
          <w:iCs/>
          <w:lang w:val="el-GR"/>
        </w:rPr>
        <w:t>Γ</w:t>
      </w:r>
      <w:r w:rsidR="00496867" w:rsidRPr="00496867">
        <w:rPr>
          <w:rFonts w:cs="Calibri"/>
          <w:b/>
          <w:iCs/>
          <w:lang w:val="el-GR"/>
        </w:rPr>
        <w:t>ΤΑΑ</w:t>
      </w:r>
      <w:r w:rsidR="00496867" w:rsidRPr="00496867">
        <w:rPr>
          <w:rFonts w:cs="Calibri"/>
          <w:iCs/>
          <w:lang w:val="el-GR"/>
        </w:rPr>
        <w:t xml:space="preserve"> επίσης δεν καταγράφεται άμεση συνεισφορά, καθώς τα ολοκληρωμένα έργα που μεταφέρονται από την προηγούμενη προγραμματική περίοδο δεν περιλάμβαναν ενέργειες στο πεδίο των ΑΠΕ, ενώ οι νέες προκηρύξεις που προβλέπουν σχετικές παρεμβάσεις δεν έχουν ακόμη αποδώσει αποτελέσματα.</w:t>
      </w:r>
    </w:p>
    <w:p w14:paraId="50C56DEF" w14:textId="7F8DD08F" w:rsidR="00496867" w:rsidRPr="00496867" w:rsidRDefault="00496867" w:rsidP="001D583B">
      <w:pPr>
        <w:numPr>
          <w:ilvl w:val="0"/>
          <w:numId w:val="13"/>
        </w:numPr>
        <w:jc w:val="both"/>
        <w:rPr>
          <w:rFonts w:cs="Calibri"/>
          <w:b/>
          <w:iCs/>
          <w:color w:val="000000"/>
          <w:lang w:val="el-GR"/>
        </w:rPr>
      </w:pPr>
      <w:r w:rsidRPr="00496867">
        <w:rPr>
          <w:rFonts w:cs="Calibri"/>
          <w:b/>
          <w:iCs/>
          <w:color w:val="000000"/>
          <w:lang w:val="el-GR"/>
        </w:rPr>
        <w:t>Εκπομπές Ρύπων:</w:t>
      </w:r>
      <w:r w:rsidRPr="00496867">
        <w:rPr>
          <w:rFonts w:cs="Calibri"/>
          <w:iCs/>
          <w:color w:val="000000"/>
          <w:lang w:val="el-GR"/>
        </w:rPr>
        <w:t xml:space="preserve"> σύμφωνα με τις τελευταίες εθνικές προβλέψεις που υποβλήθηκαν στην </w:t>
      </w:r>
      <w:r w:rsidR="005A7D8E">
        <w:rPr>
          <w:rFonts w:cs="Calibri"/>
          <w:iCs/>
          <w:color w:val="000000"/>
          <w:lang w:val="el-GR"/>
        </w:rPr>
        <w:t xml:space="preserve">Ευρωπαϊκή </w:t>
      </w:r>
      <w:r w:rsidRPr="00496867">
        <w:rPr>
          <w:rFonts w:cs="Calibri"/>
          <w:iCs/>
          <w:color w:val="000000"/>
          <w:lang w:val="el-GR"/>
        </w:rPr>
        <w:t>Επιτροπή</w:t>
      </w:r>
      <w:r w:rsidR="005A7D8E">
        <w:rPr>
          <w:rFonts w:cs="Calibri"/>
          <w:iCs/>
          <w:color w:val="000000"/>
          <w:lang w:val="el-GR"/>
        </w:rPr>
        <w:t>,</w:t>
      </w:r>
      <w:r w:rsidRPr="00496867">
        <w:rPr>
          <w:rFonts w:cs="Calibri"/>
          <w:iCs/>
          <w:color w:val="000000"/>
          <w:lang w:val="el-GR"/>
        </w:rPr>
        <w:t xml:space="preserve"> η Κύπρος έχει ήδη επιτύχει τον εθνικό της στόχο, καθώς το 2016 το επίπεδό τους ήταν μειωμένο κατά 9,6% σε σχέση με το 2005, πολύ πάνω από το όριο </w:t>
      </w:r>
      <w:r w:rsidR="005A7D8E">
        <w:rPr>
          <w:rFonts w:cs="Calibri"/>
          <w:iCs/>
          <w:color w:val="000000"/>
          <w:lang w:val="el-GR"/>
        </w:rPr>
        <w:t xml:space="preserve">του 5% </w:t>
      </w:r>
      <w:r w:rsidRPr="00496867">
        <w:rPr>
          <w:rFonts w:cs="Calibri"/>
          <w:iCs/>
          <w:color w:val="000000"/>
          <w:lang w:val="el-GR"/>
        </w:rPr>
        <w:t>που έχει τεθεί για το 2020. Σε αυτό το αποτέλεσμα έχει συμβάλει σειρά μέτρων, πολιτικών και δράσεων που έχουν ληφθεί</w:t>
      </w:r>
      <w:r w:rsidR="005A7D8E">
        <w:rPr>
          <w:rFonts w:cs="Calibri"/>
          <w:iCs/>
          <w:color w:val="000000"/>
          <w:lang w:val="el-GR"/>
        </w:rPr>
        <w:t>,</w:t>
      </w:r>
      <w:r w:rsidRPr="00496867">
        <w:rPr>
          <w:rFonts w:cs="Calibri"/>
          <w:iCs/>
          <w:color w:val="000000"/>
          <w:lang w:val="el-GR"/>
        </w:rPr>
        <w:t xml:space="preserve"> όπως η υιοθέτηση της Εθνικής Στρατηγικής Ανάπτυξης με Χαμηλές Εκπομπές και της Εθνικής Στρατηγικής για την Προσαρμογή στην Κλιματική Αλλαγή. Μεταξύ άλλων, στόχος αυτών των πρωτοβουλιών είναι η εκπλήρωση των δεσμεύσεων της χώρας </w:t>
      </w:r>
      <w:r w:rsidR="005A7D8E">
        <w:rPr>
          <w:rFonts w:cs="Calibri"/>
          <w:iCs/>
          <w:color w:val="000000"/>
          <w:lang w:val="el-GR"/>
        </w:rPr>
        <w:t>για</w:t>
      </w:r>
      <w:r w:rsidRPr="00496867">
        <w:rPr>
          <w:rFonts w:cs="Calibri"/>
          <w:iCs/>
          <w:color w:val="000000"/>
          <w:lang w:val="el-GR"/>
        </w:rPr>
        <w:t xml:space="preserve"> μείωση των εκπομπών αερίων του θερμοκηπίου σε όλους τους τομείς, γεγονός που συνδέεται με τις ενέργειες προστασίας του περιβάλλοντος και αποδοτικής χρήση των πόρων.</w:t>
      </w:r>
    </w:p>
    <w:p w14:paraId="411756C5" w14:textId="0DF7A16F" w:rsidR="00496867" w:rsidRPr="00496867" w:rsidRDefault="00496867" w:rsidP="007F59D1">
      <w:pPr>
        <w:ind w:left="720"/>
        <w:jc w:val="both"/>
        <w:rPr>
          <w:rFonts w:cs="Calibri"/>
          <w:b/>
          <w:iCs/>
          <w:color w:val="000000"/>
          <w:lang w:val="el-GR"/>
        </w:rPr>
      </w:pPr>
      <w:r w:rsidRPr="00496867">
        <w:rPr>
          <w:rFonts w:cs="Calibri"/>
          <w:iCs/>
          <w:color w:val="000000"/>
          <w:lang w:val="el-GR"/>
        </w:rPr>
        <w:t xml:space="preserve">Οι συνολικές επενδύσεις για την προστασία του περιβάλλοντος στην Κύπρο είναι κοντά στο μέσο όρο της Ε.Ε. και τυγχάνουν ισχυρής στήριξης από την Ε.Ε. μέσω των ΕΔΕΤ. Πιο συγκεκριμένα, μέσω του </w:t>
      </w:r>
      <w:r w:rsidRPr="00496867">
        <w:rPr>
          <w:rFonts w:cs="Calibri"/>
          <w:b/>
          <w:iCs/>
          <w:color w:val="000000"/>
          <w:lang w:val="el-GR"/>
        </w:rPr>
        <w:t>ΕΤΠΑ και του Τ.Σ.</w:t>
      </w:r>
      <w:r w:rsidRPr="00496867">
        <w:rPr>
          <w:rFonts w:cs="Calibri"/>
          <w:iCs/>
          <w:color w:val="000000"/>
          <w:lang w:val="el-GR"/>
        </w:rPr>
        <w:t xml:space="preserve"> οι </w:t>
      </w:r>
      <w:r w:rsidRPr="00F013EC">
        <w:rPr>
          <w:rFonts w:cs="Calibri"/>
          <w:iCs/>
          <w:color w:val="000000"/>
          <w:lang w:val="el-GR"/>
        </w:rPr>
        <w:t xml:space="preserve">δράσεις για εξοικονόμηση ενέργειας στις επιχειρήσεις και στις κατοικίες αντίστοιχα, συμβάλουν στη μείωση των εκπομπών των αερίων του θερμοκηπίου, όπως αποτυπώνεται από τον κοινό Δείκτη Εκροών </w:t>
      </w:r>
      <w:r w:rsidRPr="00F013EC">
        <w:rPr>
          <w:rFonts w:cs="Calibri"/>
          <w:iCs/>
          <w:color w:val="000000"/>
        </w:rPr>
        <w:t>CO</w:t>
      </w:r>
      <w:r w:rsidRPr="00F013EC">
        <w:rPr>
          <w:rFonts w:cs="Calibri"/>
          <w:iCs/>
          <w:color w:val="000000"/>
          <w:lang w:val="el-GR"/>
        </w:rPr>
        <w:t xml:space="preserve">34, ο οποίος όμως στο τέλος του 2016 είναι μηδενικός λόγω του χαμηλού βαθμού ωριμότητας των παρεμβάσεων. Ομοίως μηδενική είναι η συμβολή του Τ.Σ. </w:t>
      </w:r>
      <w:r w:rsidR="00F013EC">
        <w:rPr>
          <w:rFonts w:cs="Calibri"/>
          <w:iCs/>
          <w:color w:val="000000"/>
          <w:lang w:val="el-GR"/>
        </w:rPr>
        <w:t>σ</w:t>
      </w:r>
      <w:r w:rsidRPr="00F013EC">
        <w:rPr>
          <w:rFonts w:cs="Calibri"/>
          <w:iCs/>
          <w:color w:val="000000"/>
          <w:lang w:val="el-GR"/>
        </w:rPr>
        <w:t>τη μείωση των εκπομπών αερίων του θερμοκηπίου από την ετήσια κατανάλωση ενέργειας των δημόσιων κτιρίων, καθώς καμία σχετική δράση δεν είχε προκηρυχθεί μέχρι το τέλος του 2016. Επιπλέον, έργα που υλοποιούνται</w:t>
      </w:r>
      <w:r w:rsidRPr="00496867">
        <w:rPr>
          <w:rFonts w:cs="Calibri"/>
          <w:b/>
          <w:iCs/>
          <w:color w:val="000000"/>
          <w:lang w:val="el-GR"/>
        </w:rPr>
        <w:t xml:space="preserve"> </w:t>
      </w:r>
      <w:r w:rsidRPr="00F013EC">
        <w:rPr>
          <w:rFonts w:cs="Calibri"/>
          <w:iCs/>
          <w:color w:val="000000"/>
          <w:lang w:val="el-GR"/>
        </w:rPr>
        <w:t>με πόρους του Τ.Σ.</w:t>
      </w:r>
      <w:r w:rsidRPr="00496867">
        <w:rPr>
          <w:rFonts w:cs="Calibri"/>
          <w:iCs/>
          <w:color w:val="000000"/>
          <w:lang w:val="el-GR"/>
        </w:rPr>
        <w:t xml:space="preserve"> </w:t>
      </w:r>
      <w:r w:rsidRPr="00F013EC">
        <w:rPr>
          <w:rFonts w:cs="Calibri"/>
          <w:iCs/>
          <w:color w:val="000000"/>
          <w:lang w:val="el-GR"/>
        </w:rPr>
        <w:t xml:space="preserve">και αφορούν στη βελτίωση των συστημάτων μεταφορών και στην ενίσχυση της κινητικότητας σε περιφερειακό και τοπικό επίπεδο με τρόπους φιλικούς προς το περιβάλλον, συμβάλουν με άμεσο τρόπο στη μείωση της εκπομπής αερίων του θερμοκηπίου, όπως φαίνεται και από τον Δείκτη Εκροών </w:t>
      </w:r>
      <w:r w:rsidRPr="00F013EC">
        <w:rPr>
          <w:rFonts w:cs="Calibri"/>
          <w:iCs/>
          <w:color w:val="000000"/>
        </w:rPr>
        <w:t>CO</w:t>
      </w:r>
      <w:r w:rsidRPr="00F013EC">
        <w:rPr>
          <w:rFonts w:cs="Calibri"/>
          <w:iCs/>
          <w:color w:val="000000"/>
          <w:lang w:val="el-GR"/>
        </w:rPr>
        <w:t xml:space="preserve">34 με τον οποίο </w:t>
      </w:r>
      <w:r w:rsidRPr="00496867">
        <w:rPr>
          <w:rFonts w:cs="Calibri"/>
          <w:iCs/>
          <w:color w:val="000000"/>
          <w:lang w:val="el-GR"/>
        </w:rPr>
        <w:t xml:space="preserve">σχετίζονται, ενώ δεν θα πρέπει να αμεληθεί η έμμεση συμβολή που έχουν τα έργα που αφορούν στη βελτίωση των υποδομών </w:t>
      </w:r>
      <w:r w:rsidR="00F013EC">
        <w:rPr>
          <w:rFonts w:cs="Calibri"/>
          <w:iCs/>
          <w:color w:val="000000"/>
          <w:lang w:val="el-GR"/>
        </w:rPr>
        <w:t xml:space="preserve">μεταφορών </w:t>
      </w:r>
      <w:r w:rsidRPr="00496867">
        <w:rPr>
          <w:rFonts w:cs="Calibri"/>
          <w:iCs/>
          <w:color w:val="000000"/>
          <w:lang w:val="el-GR"/>
        </w:rPr>
        <w:t>και της διασύνδεσής τους</w:t>
      </w:r>
      <w:r w:rsidR="00F013EC">
        <w:rPr>
          <w:rFonts w:cs="Calibri"/>
          <w:iCs/>
          <w:color w:val="000000"/>
          <w:lang w:val="el-GR"/>
        </w:rPr>
        <w:t>,</w:t>
      </w:r>
      <w:r w:rsidRPr="00496867">
        <w:rPr>
          <w:rFonts w:cs="Calibri"/>
          <w:iCs/>
          <w:color w:val="000000"/>
          <w:lang w:val="el-GR"/>
        </w:rPr>
        <w:t xml:space="preserve"> όπως αυτά που σχετίζονται με το Λιμένα Λεμεσού. Ανάλογα </w:t>
      </w:r>
      <w:r w:rsidRPr="00F013EC">
        <w:rPr>
          <w:rFonts w:cs="Calibri"/>
          <w:iCs/>
          <w:color w:val="000000"/>
          <w:lang w:val="el-GR"/>
        </w:rPr>
        <w:t xml:space="preserve">εμμέσως ενισχυτικά </w:t>
      </w:r>
      <w:r w:rsidR="00F013EC">
        <w:rPr>
          <w:rFonts w:cs="Calibri"/>
          <w:iCs/>
          <w:color w:val="000000"/>
          <w:lang w:val="el-GR"/>
        </w:rPr>
        <w:t>για τη</w:t>
      </w:r>
      <w:r w:rsidRPr="00F013EC">
        <w:rPr>
          <w:rFonts w:cs="Calibri"/>
          <w:iCs/>
          <w:color w:val="000000"/>
          <w:lang w:val="el-GR"/>
        </w:rPr>
        <w:t xml:space="preserve"> μείωση της εκπομπής αερίων του θερμοκηπίου είναι </w:t>
      </w:r>
      <w:r w:rsidR="00F013EC">
        <w:rPr>
          <w:rFonts w:cs="Calibri"/>
          <w:iCs/>
          <w:color w:val="000000"/>
          <w:lang w:val="el-GR"/>
        </w:rPr>
        <w:t>και</w:t>
      </w:r>
      <w:r w:rsidRPr="00F013EC">
        <w:rPr>
          <w:rFonts w:cs="Calibri"/>
          <w:iCs/>
          <w:color w:val="000000"/>
          <w:lang w:val="el-GR"/>
        </w:rPr>
        <w:t xml:space="preserve"> τα υποψήφια προς ένταξη έργα με στήριξη από το Τ.Σ. </w:t>
      </w:r>
      <w:r w:rsidR="00F013EC">
        <w:rPr>
          <w:rFonts w:cs="Calibri"/>
          <w:iCs/>
          <w:color w:val="000000"/>
          <w:lang w:val="el-GR"/>
        </w:rPr>
        <w:t>που</w:t>
      </w:r>
      <w:r w:rsidRPr="00F013EC">
        <w:rPr>
          <w:rFonts w:cs="Calibri"/>
          <w:iCs/>
          <w:color w:val="000000"/>
          <w:lang w:val="el-GR"/>
        </w:rPr>
        <w:t xml:space="preserve"> αφορούν στη διαχείριση </w:t>
      </w:r>
      <w:r w:rsidR="00F013EC">
        <w:rPr>
          <w:rFonts w:cs="Calibri"/>
          <w:iCs/>
          <w:color w:val="000000"/>
          <w:lang w:val="el-GR"/>
        </w:rPr>
        <w:t xml:space="preserve">στερεών </w:t>
      </w:r>
      <w:r w:rsidRPr="00F013EC">
        <w:rPr>
          <w:rFonts w:cs="Calibri"/>
          <w:iCs/>
          <w:color w:val="000000"/>
          <w:lang w:val="el-GR"/>
        </w:rPr>
        <w:t>αποβλήτων, στην αύξηση του</w:t>
      </w:r>
      <w:r w:rsidRPr="00496867">
        <w:rPr>
          <w:rFonts w:cs="Calibri"/>
          <w:iCs/>
          <w:color w:val="000000"/>
          <w:lang w:val="el-GR"/>
        </w:rPr>
        <w:t xml:space="preserve"> ποσοστού της ανακύκλωσης και </w:t>
      </w:r>
      <w:r w:rsidR="00F013EC">
        <w:rPr>
          <w:rFonts w:cs="Calibri"/>
          <w:iCs/>
          <w:color w:val="000000"/>
          <w:lang w:val="el-GR"/>
        </w:rPr>
        <w:t>σε δράσεις</w:t>
      </w:r>
      <w:r w:rsidRPr="00496867">
        <w:rPr>
          <w:rFonts w:cs="Calibri"/>
          <w:iCs/>
          <w:color w:val="000000"/>
          <w:lang w:val="el-GR"/>
        </w:rPr>
        <w:t xml:space="preserve"> προσαρμογή</w:t>
      </w:r>
      <w:r w:rsidR="00F013EC">
        <w:rPr>
          <w:rFonts w:cs="Calibri"/>
          <w:iCs/>
          <w:color w:val="000000"/>
          <w:lang w:val="el-GR"/>
        </w:rPr>
        <w:t>ς</w:t>
      </w:r>
      <w:r w:rsidRPr="00496867">
        <w:rPr>
          <w:rFonts w:cs="Calibri"/>
          <w:iCs/>
          <w:color w:val="000000"/>
          <w:lang w:val="el-GR"/>
        </w:rPr>
        <w:t xml:space="preserve"> στην κλιματική αλλαγή.</w:t>
      </w:r>
    </w:p>
    <w:p w14:paraId="3768A174" w14:textId="46E47243" w:rsidR="00496867" w:rsidRPr="00E20D9D" w:rsidRDefault="00496867" w:rsidP="007F59D1">
      <w:pPr>
        <w:ind w:left="720"/>
        <w:jc w:val="both"/>
        <w:rPr>
          <w:rFonts w:cs="Calibri"/>
          <w:iCs/>
          <w:color w:val="000000"/>
          <w:lang w:val="el-GR"/>
        </w:rPr>
      </w:pPr>
      <w:r w:rsidRPr="00496867">
        <w:rPr>
          <w:rFonts w:cs="Calibri"/>
          <w:iCs/>
          <w:color w:val="000000"/>
          <w:lang w:val="el-GR"/>
        </w:rPr>
        <w:t xml:space="preserve">Μέχρι </w:t>
      </w:r>
      <w:r w:rsidR="006D405E">
        <w:rPr>
          <w:rFonts w:cs="Calibri"/>
          <w:iCs/>
          <w:color w:val="000000"/>
          <w:lang w:val="el-GR"/>
        </w:rPr>
        <w:t>τις</w:t>
      </w:r>
      <w:r w:rsidRPr="00496867">
        <w:rPr>
          <w:rFonts w:cs="Calibri"/>
          <w:iCs/>
          <w:color w:val="000000"/>
          <w:lang w:val="el-GR"/>
        </w:rPr>
        <w:t xml:space="preserve"> 31/12/2016, η </w:t>
      </w:r>
      <w:r w:rsidRPr="00496867">
        <w:rPr>
          <w:rFonts w:cs="Calibri"/>
          <w:b/>
          <w:iCs/>
          <w:color w:val="000000"/>
          <w:lang w:val="el-GR"/>
        </w:rPr>
        <w:t>συμβολή του ΕΤΘΑ</w:t>
      </w:r>
      <w:r w:rsidRPr="00496867">
        <w:rPr>
          <w:rFonts w:cs="Calibri"/>
          <w:iCs/>
          <w:color w:val="000000"/>
          <w:lang w:val="el-GR"/>
        </w:rPr>
        <w:t xml:space="preserve"> δεν αποτυπώνεται</w:t>
      </w:r>
      <w:r w:rsidR="006D405E">
        <w:rPr>
          <w:rFonts w:cs="Calibri"/>
          <w:iCs/>
          <w:color w:val="000000"/>
          <w:lang w:val="el-GR"/>
        </w:rPr>
        <w:t>,</w:t>
      </w:r>
      <w:r w:rsidRPr="00496867">
        <w:rPr>
          <w:rFonts w:cs="Calibri"/>
          <w:iCs/>
          <w:color w:val="000000"/>
          <w:lang w:val="el-GR"/>
        </w:rPr>
        <w:t xml:space="preserve"> καθώς δεν υπάρχει καμία συναφής δράση με το στόχο τη</w:t>
      </w:r>
      <w:r w:rsidR="006D405E">
        <w:rPr>
          <w:rFonts w:cs="Calibri"/>
          <w:iCs/>
          <w:color w:val="000000"/>
          <w:lang w:val="el-GR"/>
        </w:rPr>
        <w:t>ς</w:t>
      </w:r>
      <w:r w:rsidRPr="00496867">
        <w:rPr>
          <w:rFonts w:cs="Calibri"/>
          <w:iCs/>
          <w:color w:val="000000"/>
          <w:lang w:val="el-GR"/>
        </w:rPr>
        <w:t xml:space="preserve"> μείωση της εκπομπής αερίων του θερμοκηπίου</w:t>
      </w:r>
      <w:r w:rsidR="006A78BC">
        <w:rPr>
          <w:rFonts w:cs="Calibri"/>
          <w:iCs/>
          <w:color w:val="000000"/>
          <w:lang w:val="el-GR"/>
        </w:rPr>
        <w:t>.</w:t>
      </w:r>
      <w:r w:rsidR="00E20D9D" w:rsidRPr="00215334">
        <w:rPr>
          <w:rFonts w:cs="Calibri"/>
          <w:iCs/>
          <w:color w:val="000000"/>
          <w:lang w:val="el-GR"/>
        </w:rPr>
        <w:t xml:space="preserve"> </w:t>
      </w:r>
      <w:r w:rsidR="00E20D9D">
        <w:rPr>
          <w:rFonts w:cs="Calibri"/>
          <w:iCs/>
          <w:color w:val="000000"/>
          <w:lang w:val="el-GR"/>
        </w:rPr>
        <w:t xml:space="preserve">Μέσω του Ε.Π. «Θάλασσα» 2014-2020 ο στόχος αναμένεται να εξυπηρετηθεί από δράσεις που θα προωθηθούν από το Μέτρο 3 </w:t>
      </w:r>
      <w:r w:rsidR="00B95BD2">
        <w:rPr>
          <w:rFonts w:cs="Calibri"/>
          <w:iCs/>
          <w:color w:val="000000"/>
          <w:lang w:val="el-GR"/>
        </w:rPr>
        <w:t>(Άρθρο</w:t>
      </w:r>
      <w:r w:rsidR="00E20D9D">
        <w:rPr>
          <w:rFonts w:cs="Calibri"/>
          <w:iCs/>
          <w:color w:val="000000"/>
          <w:lang w:val="el-GR"/>
        </w:rPr>
        <w:t xml:space="preserve"> 41.1 α), β) και γ)</w:t>
      </w:r>
      <w:r w:rsidR="00B95BD2">
        <w:rPr>
          <w:rFonts w:cs="Calibri"/>
          <w:iCs/>
          <w:color w:val="000000"/>
          <w:lang w:val="el-GR"/>
        </w:rPr>
        <w:t>)</w:t>
      </w:r>
      <w:r w:rsidR="00E20D9D">
        <w:rPr>
          <w:rFonts w:cs="Calibri"/>
          <w:iCs/>
          <w:color w:val="000000"/>
          <w:lang w:val="el-GR"/>
        </w:rPr>
        <w:t xml:space="preserve"> και το Μέτρο 4 </w:t>
      </w:r>
      <w:r w:rsidR="00B95BD2">
        <w:rPr>
          <w:rFonts w:cs="Calibri"/>
          <w:iCs/>
          <w:color w:val="000000"/>
          <w:lang w:val="el-GR"/>
        </w:rPr>
        <w:t>(</w:t>
      </w:r>
      <w:r w:rsidR="00E20D9D">
        <w:rPr>
          <w:rFonts w:cs="Calibri"/>
          <w:iCs/>
          <w:color w:val="000000"/>
          <w:lang w:val="el-GR"/>
        </w:rPr>
        <w:t>Άρ</w:t>
      </w:r>
      <w:r w:rsidR="00B95BD2">
        <w:rPr>
          <w:rFonts w:cs="Calibri"/>
          <w:iCs/>
          <w:color w:val="000000"/>
          <w:lang w:val="el-GR"/>
        </w:rPr>
        <w:t>θρο</w:t>
      </w:r>
      <w:r w:rsidR="00E20D9D">
        <w:rPr>
          <w:rFonts w:cs="Calibri"/>
          <w:iCs/>
          <w:color w:val="000000"/>
          <w:lang w:val="el-GR"/>
        </w:rPr>
        <w:t xml:space="preserve"> 41.2</w:t>
      </w:r>
      <w:r w:rsidR="00B95BD2">
        <w:rPr>
          <w:rFonts w:cs="Calibri"/>
          <w:iCs/>
          <w:color w:val="000000"/>
          <w:lang w:val="el-GR"/>
        </w:rPr>
        <w:t>),</w:t>
      </w:r>
      <w:r w:rsidR="00E20D9D">
        <w:rPr>
          <w:rFonts w:cs="Calibri"/>
          <w:iCs/>
          <w:color w:val="000000"/>
          <w:lang w:val="el-GR"/>
        </w:rPr>
        <w:t xml:space="preserve"> </w:t>
      </w:r>
      <w:r w:rsidR="00B95BD2">
        <w:rPr>
          <w:rFonts w:cs="Calibri"/>
          <w:iCs/>
          <w:color w:val="000000"/>
          <w:lang w:val="el-GR"/>
        </w:rPr>
        <w:t>τα οποία</w:t>
      </w:r>
      <w:r w:rsidR="00E20D9D">
        <w:rPr>
          <w:rFonts w:cs="Calibri"/>
          <w:iCs/>
          <w:color w:val="000000"/>
          <w:lang w:val="el-GR"/>
        </w:rPr>
        <w:t xml:space="preserve"> περιλαμβάνουν επενδύσεις για τη μείωση των ρύπων και την αύξηση της ενεργειακής απόδοσης.</w:t>
      </w:r>
    </w:p>
    <w:p w14:paraId="4406A978" w14:textId="1A32A4A0" w:rsidR="00496867" w:rsidRPr="00496867" w:rsidRDefault="00496867" w:rsidP="007F59D1">
      <w:pPr>
        <w:ind w:left="720"/>
        <w:jc w:val="both"/>
        <w:rPr>
          <w:rFonts w:cs="Calibri"/>
          <w:iCs/>
          <w:lang w:val="el-GR"/>
        </w:rPr>
      </w:pPr>
      <w:r w:rsidRPr="00496867">
        <w:rPr>
          <w:rFonts w:cs="Calibri"/>
          <w:iCs/>
          <w:lang w:val="el-GR"/>
        </w:rPr>
        <w:t xml:space="preserve">Σχετικά με το </w:t>
      </w:r>
      <w:r w:rsidRPr="00496867">
        <w:rPr>
          <w:rFonts w:cs="Calibri"/>
          <w:b/>
          <w:iCs/>
          <w:lang w:val="el-GR"/>
        </w:rPr>
        <w:t>ΕΓΤΑΑ</w:t>
      </w:r>
      <w:r w:rsidRPr="00496867">
        <w:rPr>
          <w:rFonts w:cs="Calibri"/>
          <w:iCs/>
          <w:lang w:val="el-GR"/>
        </w:rPr>
        <w:t xml:space="preserve">, θα πρέπει καταρχήν να τονιστεί ότι ο δείκτης πυκνότητας ζωικού κεφαλαίου είναι από τους μεγαλύτερους στην Ευρώπη. </w:t>
      </w:r>
      <w:r w:rsidR="006D405E">
        <w:rPr>
          <w:rFonts w:cs="Calibri"/>
          <w:iCs/>
          <w:lang w:val="el-GR"/>
        </w:rPr>
        <w:t xml:space="preserve">Μέσω του </w:t>
      </w:r>
      <w:r w:rsidRPr="00496867">
        <w:rPr>
          <w:rFonts w:cs="Calibri"/>
          <w:iCs/>
          <w:lang w:val="el-GR"/>
        </w:rPr>
        <w:t xml:space="preserve">ΠΑΑ </w:t>
      </w:r>
      <w:r w:rsidR="006A78BC">
        <w:rPr>
          <w:rFonts w:cs="Calibri"/>
          <w:iCs/>
          <w:lang w:val="el-GR"/>
        </w:rPr>
        <w:t>υλοποιούνται</w:t>
      </w:r>
      <w:r w:rsidRPr="00496867">
        <w:rPr>
          <w:rFonts w:cs="Calibri"/>
          <w:iCs/>
          <w:lang w:val="el-GR"/>
        </w:rPr>
        <w:t xml:space="preserve"> δράσεις που θα </w:t>
      </w:r>
      <w:r w:rsidRPr="00496867">
        <w:rPr>
          <w:rFonts w:cs="Calibri"/>
          <w:iCs/>
          <w:lang w:val="el-GR"/>
        </w:rPr>
        <w:lastRenderedPageBreak/>
        <w:t>περιορίσουν την παραγωγή αερίων του θερμοκηπίου</w:t>
      </w:r>
      <w:r w:rsidR="00FC74AA">
        <w:rPr>
          <w:rFonts w:cs="Calibri"/>
          <w:iCs/>
          <w:lang w:val="el-GR"/>
        </w:rPr>
        <w:t>,</w:t>
      </w:r>
      <w:r w:rsidRPr="00496867">
        <w:rPr>
          <w:rFonts w:cs="Calibri"/>
          <w:iCs/>
          <w:lang w:val="el-GR"/>
        </w:rPr>
        <w:t xml:space="preserve"> κυρίως μέσω της διαχείρισης ζωικών αποβλήτων αλλά και της εκπαίδευσης των αγροτών σε αυτές τις μεθόδους. Προς το παρόν όμως, δεν είναι δυνατή η εκτίμηση της ωφέλειας </w:t>
      </w:r>
      <w:r w:rsidR="00FC74AA">
        <w:rPr>
          <w:rFonts w:cs="Calibri"/>
          <w:iCs/>
          <w:lang w:val="el-GR"/>
        </w:rPr>
        <w:t>αυτών των παρεμβάσεων</w:t>
      </w:r>
      <w:r w:rsidR="006A78BC">
        <w:rPr>
          <w:rFonts w:cs="Calibri"/>
          <w:iCs/>
          <w:lang w:val="el-GR"/>
        </w:rPr>
        <w:t xml:space="preserve"> μιας και</w:t>
      </w:r>
      <w:r w:rsidRPr="00496867">
        <w:rPr>
          <w:rFonts w:cs="Calibri"/>
          <w:iCs/>
          <w:lang w:val="el-GR"/>
        </w:rPr>
        <w:t xml:space="preserve"> δεν υπάρχουν ακόμη ολοκληρωμένα έργα</w:t>
      </w:r>
      <w:r w:rsidR="006A78BC">
        <w:rPr>
          <w:rFonts w:cs="Calibri"/>
          <w:iCs/>
          <w:lang w:val="el-GR"/>
        </w:rPr>
        <w:t xml:space="preserve">. Σημειώνεται ότι </w:t>
      </w:r>
      <w:r w:rsidRPr="00496867">
        <w:rPr>
          <w:rFonts w:cs="Calibri"/>
          <w:iCs/>
          <w:lang w:val="el-GR"/>
        </w:rPr>
        <w:t xml:space="preserve">το φυσικό αντικείμενο των επενδυτικών έργων των </w:t>
      </w:r>
      <w:r w:rsidRPr="00496867">
        <w:rPr>
          <w:rFonts w:cs="Calibri"/>
          <w:b/>
          <w:iCs/>
          <w:lang w:val="el-GR"/>
        </w:rPr>
        <w:t>Μέτρων 4.1 και 6.1</w:t>
      </w:r>
      <w:r w:rsidRPr="00496867">
        <w:rPr>
          <w:rFonts w:cs="Calibri"/>
          <w:iCs/>
          <w:lang w:val="el-GR"/>
        </w:rPr>
        <w:t xml:space="preserve"> </w:t>
      </w:r>
      <w:r w:rsidR="00FC74AA">
        <w:rPr>
          <w:rFonts w:cs="Calibri"/>
          <w:iCs/>
          <w:lang w:val="el-GR"/>
        </w:rPr>
        <w:t>(</w:t>
      </w:r>
      <w:r w:rsidRPr="00496867">
        <w:rPr>
          <w:rFonts w:cs="Calibri"/>
          <w:iCs/>
          <w:lang w:val="el-GR"/>
        </w:rPr>
        <w:t>κατεύθυνσης ζωικής παραγωγής</w:t>
      </w:r>
      <w:r w:rsidR="00FC74AA">
        <w:rPr>
          <w:rFonts w:cs="Calibri"/>
          <w:iCs/>
          <w:lang w:val="el-GR"/>
        </w:rPr>
        <w:t>)</w:t>
      </w:r>
      <w:r w:rsidRPr="00496867">
        <w:rPr>
          <w:rFonts w:cs="Calibri"/>
          <w:iCs/>
          <w:lang w:val="el-GR"/>
        </w:rPr>
        <w:t xml:space="preserve"> θα έχει καθοριστική συμβολή στη μείωση των εκπομπών αερίων θερμοκηπίου και αμμωνίας από τη γεωργία.</w:t>
      </w:r>
    </w:p>
    <w:p w14:paraId="4EA041A0" w14:textId="66BEEBC8" w:rsidR="00496867" w:rsidRPr="00E20D9D" w:rsidRDefault="00496867" w:rsidP="001D583B">
      <w:pPr>
        <w:numPr>
          <w:ilvl w:val="0"/>
          <w:numId w:val="13"/>
        </w:numPr>
        <w:jc w:val="both"/>
        <w:rPr>
          <w:rFonts w:cs="Calibri"/>
          <w:b/>
          <w:iCs/>
          <w:color w:val="000000"/>
          <w:lang w:val="el-GR"/>
        </w:rPr>
      </w:pPr>
      <w:r w:rsidRPr="00496867">
        <w:rPr>
          <w:rFonts w:cs="Calibri"/>
          <w:b/>
          <w:iCs/>
          <w:color w:val="000000"/>
          <w:lang w:val="el-GR"/>
        </w:rPr>
        <w:t>Ενεργειακή Απόδοση:</w:t>
      </w:r>
      <w:r w:rsidRPr="00496867">
        <w:rPr>
          <w:rFonts w:cs="Calibri"/>
          <w:iCs/>
          <w:color w:val="000000"/>
          <w:lang w:val="el-GR"/>
        </w:rPr>
        <w:t xml:space="preserve"> μολονότι η ακαθάριστη πρωτογενής εγχώρια κατανάλωση ενέργειας μειώθηκε σημαντικά τα τελευταία χρόνια, κυρίως λόγω της οικονομικής ύφεσης, το 2015 η Κύπρος αύξησε την πρωτογενή κατανάλωση ενέργειας κατά 2% (από 2,21 εκ. ΤΙΠ το 2014 σε 2,25 εκ. ΤΙΠ). Επιπλέον, άνω του 90% της κατανάλωσης ενέργειας στην Κύπρο εξακολουθεί να καλύπτεται από εισαγωγές πετρελαίου και πετρελαιοειδών, μία τάση που φαίνεται να ενισχύεται ως συνέπεια της ανάκαμψης της οικονομικής δραστηριότητας. Στην προσπάθεια </w:t>
      </w:r>
      <w:r w:rsidR="003C20A2">
        <w:rPr>
          <w:rFonts w:cs="Calibri"/>
          <w:iCs/>
          <w:color w:val="000000"/>
          <w:lang w:val="el-GR"/>
        </w:rPr>
        <w:t>για</w:t>
      </w:r>
      <w:r w:rsidRPr="00496867">
        <w:rPr>
          <w:rFonts w:cs="Calibri"/>
          <w:iCs/>
          <w:color w:val="000000"/>
          <w:lang w:val="el-GR"/>
        </w:rPr>
        <w:t xml:space="preserve"> περαιτέρω </w:t>
      </w:r>
      <w:r w:rsidR="003C20A2">
        <w:rPr>
          <w:rFonts w:cs="Calibri"/>
          <w:iCs/>
          <w:color w:val="000000"/>
          <w:lang w:val="el-GR"/>
        </w:rPr>
        <w:t xml:space="preserve">μείωση </w:t>
      </w:r>
      <w:r w:rsidRPr="00496867">
        <w:rPr>
          <w:rFonts w:cs="Calibri"/>
          <w:iCs/>
          <w:color w:val="000000"/>
          <w:lang w:val="el-GR"/>
        </w:rPr>
        <w:t>τη</w:t>
      </w:r>
      <w:r w:rsidR="003C20A2">
        <w:rPr>
          <w:rFonts w:cs="Calibri"/>
          <w:iCs/>
          <w:color w:val="000000"/>
          <w:lang w:val="el-GR"/>
        </w:rPr>
        <w:t>ς</w:t>
      </w:r>
      <w:r w:rsidRPr="00496867">
        <w:rPr>
          <w:rFonts w:cs="Calibri"/>
          <w:iCs/>
          <w:color w:val="000000"/>
          <w:lang w:val="el-GR"/>
        </w:rPr>
        <w:t xml:space="preserve"> πρωτογεν</w:t>
      </w:r>
      <w:r w:rsidR="003C20A2">
        <w:rPr>
          <w:rFonts w:cs="Calibri"/>
          <w:iCs/>
          <w:color w:val="000000"/>
          <w:lang w:val="el-GR"/>
        </w:rPr>
        <w:t>ούς</w:t>
      </w:r>
      <w:r w:rsidRPr="00496867">
        <w:rPr>
          <w:rFonts w:cs="Calibri"/>
          <w:iCs/>
          <w:color w:val="000000"/>
          <w:lang w:val="el-GR"/>
        </w:rPr>
        <w:t xml:space="preserve"> κατανάλωση</w:t>
      </w:r>
      <w:r w:rsidR="003C20A2">
        <w:rPr>
          <w:rFonts w:cs="Calibri"/>
          <w:iCs/>
          <w:color w:val="000000"/>
          <w:lang w:val="el-GR"/>
        </w:rPr>
        <w:t>ς</w:t>
      </w:r>
      <w:r w:rsidRPr="00496867">
        <w:rPr>
          <w:rFonts w:cs="Calibri"/>
          <w:iCs/>
          <w:color w:val="000000"/>
          <w:lang w:val="el-GR"/>
        </w:rPr>
        <w:t xml:space="preserve"> ενέργειας και </w:t>
      </w:r>
      <w:r w:rsidR="003C20A2">
        <w:rPr>
          <w:rFonts w:cs="Calibri"/>
          <w:iCs/>
          <w:color w:val="000000"/>
          <w:lang w:val="el-GR"/>
        </w:rPr>
        <w:t>επίτευξης</w:t>
      </w:r>
      <w:r w:rsidRPr="00496867">
        <w:rPr>
          <w:rFonts w:cs="Calibri"/>
          <w:iCs/>
          <w:color w:val="000000"/>
          <w:lang w:val="el-GR"/>
        </w:rPr>
        <w:t xml:space="preserve"> το</w:t>
      </w:r>
      <w:r w:rsidR="003C20A2">
        <w:rPr>
          <w:rFonts w:cs="Calibri"/>
          <w:iCs/>
          <w:color w:val="000000"/>
          <w:lang w:val="el-GR"/>
        </w:rPr>
        <w:t>υ</w:t>
      </w:r>
      <w:r w:rsidRPr="00496867">
        <w:rPr>
          <w:rFonts w:cs="Calibri"/>
          <w:iCs/>
          <w:color w:val="000000"/>
          <w:lang w:val="el-GR"/>
        </w:rPr>
        <w:t xml:space="preserve"> στόχο</w:t>
      </w:r>
      <w:r w:rsidR="006A78BC">
        <w:rPr>
          <w:rFonts w:cs="Calibri"/>
          <w:iCs/>
          <w:color w:val="000000"/>
          <w:lang w:val="el-GR"/>
        </w:rPr>
        <w:t>υ</w:t>
      </w:r>
      <w:r w:rsidRPr="00496867">
        <w:rPr>
          <w:rFonts w:cs="Calibri"/>
          <w:iCs/>
          <w:color w:val="000000"/>
          <w:lang w:val="el-GR"/>
        </w:rPr>
        <w:t xml:space="preserve"> του 2020, προβλέπεται η αύξηση της χρήσης φυσικού αερίου έναντι του πετρελαίου για την παραγωγή ηλεκτρικής ενέργειας</w:t>
      </w:r>
      <w:r w:rsidR="003C20A2">
        <w:rPr>
          <w:rFonts w:cs="Calibri"/>
          <w:iCs/>
          <w:color w:val="000000"/>
          <w:lang w:val="el-GR"/>
        </w:rPr>
        <w:t>,</w:t>
      </w:r>
      <w:r w:rsidRPr="00496867">
        <w:rPr>
          <w:rFonts w:cs="Calibri"/>
          <w:iCs/>
          <w:color w:val="000000"/>
          <w:lang w:val="el-GR"/>
        </w:rPr>
        <w:t xml:space="preserve"> καθώς και η βελτίωση της ενεργειακής απόδοσης στον κατασκευαστικό, στον επιχειρησιακό, στον οικιακό τομέα και στον τομέα των δημόσιων κτιρίων. Όσον αφορά </w:t>
      </w:r>
      <w:r w:rsidR="003C20A2">
        <w:rPr>
          <w:rFonts w:cs="Calibri"/>
          <w:iCs/>
          <w:color w:val="000000"/>
          <w:lang w:val="el-GR"/>
        </w:rPr>
        <w:t>σ</w:t>
      </w:r>
      <w:r w:rsidRPr="00496867">
        <w:rPr>
          <w:rFonts w:cs="Calibri"/>
          <w:iCs/>
          <w:color w:val="000000"/>
          <w:lang w:val="el-GR"/>
        </w:rPr>
        <w:t xml:space="preserve">τις πολιτικές, τα μέτρα και τις δράσεις που περιλαμβάνονται για την επίτευξη του εθνικού στόχου το 2020, προβλέπεται </w:t>
      </w:r>
      <w:r w:rsidR="003C20A2">
        <w:rPr>
          <w:rFonts w:cs="Calibri"/>
          <w:iCs/>
          <w:color w:val="000000"/>
          <w:lang w:val="el-GR"/>
        </w:rPr>
        <w:t>επίσης</w:t>
      </w:r>
      <w:r w:rsidRPr="00496867">
        <w:rPr>
          <w:rFonts w:cs="Calibri"/>
          <w:iCs/>
          <w:color w:val="000000"/>
          <w:lang w:val="el-GR"/>
        </w:rPr>
        <w:t xml:space="preserve"> η εφαρμογή μεταρρυθμίσεων κανονιστικού χαρακτήρα, η παροχή οικονομικών κινήτρων, η βελτίωση της γνώσης και της πληροφόρησης των καταναλωτών, η ενίσχυση του ρόλου των χρηματοοικονομικών φορέων του ιδιωτικού τομέα</w:t>
      </w:r>
      <w:r w:rsidR="003C20A2">
        <w:rPr>
          <w:rFonts w:cs="Calibri"/>
          <w:iCs/>
          <w:color w:val="000000"/>
          <w:lang w:val="el-GR"/>
        </w:rPr>
        <w:t>,</w:t>
      </w:r>
      <w:r w:rsidRPr="00496867">
        <w:rPr>
          <w:rFonts w:cs="Calibri"/>
          <w:iCs/>
          <w:color w:val="000000"/>
          <w:lang w:val="el-GR"/>
        </w:rPr>
        <w:t xml:space="preserve"> καθώς και η ενθάρρυνση ερευνητικών και τεχνολογικών εξελίξεων στον τομέα της ενέργειας.</w:t>
      </w:r>
    </w:p>
    <w:p w14:paraId="75027994" w14:textId="34B04CFC" w:rsidR="00E20D9D" w:rsidRPr="00370CC7" w:rsidRDefault="00E20D9D" w:rsidP="00E20D9D">
      <w:pPr>
        <w:spacing w:before="240"/>
        <w:ind w:left="720"/>
        <w:jc w:val="both"/>
        <w:rPr>
          <w:rFonts w:cs="Calibri"/>
          <w:iCs/>
          <w:color w:val="000000"/>
          <w:lang w:val="el-GR"/>
        </w:rPr>
      </w:pPr>
      <w:r w:rsidRPr="00370CC7">
        <w:rPr>
          <w:rFonts w:cs="Calibri"/>
          <w:iCs/>
          <w:color w:val="000000"/>
          <w:lang w:val="el-GR"/>
        </w:rPr>
        <w:t xml:space="preserve">Η </w:t>
      </w:r>
      <w:r w:rsidRPr="00370CC7">
        <w:rPr>
          <w:rFonts w:cs="Calibri"/>
          <w:b/>
          <w:iCs/>
          <w:color w:val="000000"/>
          <w:lang w:val="el-GR"/>
        </w:rPr>
        <w:t>συμμετοχή των ΕΔΕΤ στην επίτευξη του Εθνικού Στόχου</w:t>
      </w:r>
      <w:r w:rsidRPr="00370CC7">
        <w:rPr>
          <w:rFonts w:cs="Calibri"/>
          <w:iCs/>
          <w:color w:val="000000"/>
          <w:lang w:val="el-GR"/>
        </w:rPr>
        <w:t xml:space="preserve">, προωθήθηκε από δράσεις για την </w:t>
      </w:r>
      <w:r w:rsidRPr="00370CC7">
        <w:rPr>
          <w:rFonts w:cs="Calibri"/>
          <w:b/>
          <w:iCs/>
          <w:color w:val="000000"/>
          <w:lang w:val="el-GR"/>
        </w:rPr>
        <w:t>εξοικονόμηση ενέργειας στις επιχειρήσεις (μέσω του ΕΤΠΑ)</w:t>
      </w:r>
      <w:r w:rsidRPr="00370CC7">
        <w:rPr>
          <w:rFonts w:cs="Calibri"/>
          <w:iCs/>
          <w:color w:val="000000"/>
          <w:lang w:val="el-GR"/>
        </w:rPr>
        <w:t xml:space="preserve"> και </w:t>
      </w:r>
      <w:r w:rsidRPr="00370CC7">
        <w:rPr>
          <w:rFonts w:cs="Calibri"/>
          <w:b/>
          <w:iCs/>
          <w:color w:val="000000"/>
          <w:lang w:val="el-GR"/>
        </w:rPr>
        <w:t>στις κατοικίες (μέσω του Ταμείου Συνοχής)</w:t>
      </w:r>
      <w:r w:rsidRPr="00370CC7">
        <w:rPr>
          <w:rFonts w:cs="Calibri"/>
          <w:iCs/>
          <w:color w:val="000000"/>
          <w:lang w:val="el-GR"/>
        </w:rPr>
        <w:t>. Και στις δύο περιπτώσεις τα έργα δεν συνδέονται με το πλαίσιο επίδοσης</w:t>
      </w:r>
      <w:r w:rsidR="00B95BD2">
        <w:rPr>
          <w:rFonts w:cs="Calibri"/>
          <w:iCs/>
          <w:color w:val="000000"/>
          <w:lang w:val="el-GR"/>
        </w:rPr>
        <w:t>,</w:t>
      </w:r>
      <w:r w:rsidRPr="00370CC7">
        <w:rPr>
          <w:rFonts w:cs="Calibri"/>
          <w:iCs/>
          <w:color w:val="000000"/>
          <w:lang w:val="el-GR"/>
        </w:rPr>
        <w:t xml:space="preserve"> </w:t>
      </w:r>
      <w:r>
        <w:rPr>
          <w:rFonts w:cs="Calibri"/>
          <w:iCs/>
          <w:color w:val="000000"/>
          <w:lang w:val="el-GR"/>
        </w:rPr>
        <w:t xml:space="preserve">ενώ </w:t>
      </w:r>
      <w:r w:rsidRPr="00370CC7">
        <w:rPr>
          <w:rFonts w:cs="Calibri"/>
          <w:iCs/>
          <w:color w:val="000000"/>
          <w:lang w:val="el-GR"/>
        </w:rPr>
        <w:t xml:space="preserve">το επίπεδο ωρίμανσης των παρεμβάσεων είναι χαμηλό. </w:t>
      </w:r>
      <w:r w:rsidR="006A78BC">
        <w:rPr>
          <w:rFonts w:cs="Calibri"/>
          <w:iCs/>
          <w:color w:val="000000"/>
          <w:lang w:val="el-GR"/>
        </w:rPr>
        <w:t xml:space="preserve">Η ολοκλήρωση των εν λόγω έργων αναμένεται να συμβάλλει σημαντικά στην επίτευξη </w:t>
      </w:r>
      <w:r w:rsidRPr="00370CC7">
        <w:rPr>
          <w:rFonts w:cs="Calibri"/>
          <w:iCs/>
          <w:color w:val="000000"/>
          <w:lang w:val="el-GR"/>
        </w:rPr>
        <w:t>των Δεικτών Αποτελέσματος που αφορούν στην εξοικονόμηση πρωτογενούς ενέργειας σε επιχειρήσεις (Δείκτης 4β.1) και κατοικίες (Δείκτης 4</w:t>
      </w:r>
      <w:r w:rsidRPr="00370CC7">
        <w:rPr>
          <w:rFonts w:cs="Calibri"/>
          <w:iCs/>
          <w:color w:val="000000"/>
        </w:rPr>
        <w:t>iii</w:t>
      </w:r>
      <w:r w:rsidRPr="00215334">
        <w:rPr>
          <w:rFonts w:cs="Calibri"/>
          <w:iCs/>
          <w:color w:val="000000"/>
          <w:lang w:val="el-GR"/>
        </w:rPr>
        <w:t>.2)</w:t>
      </w:r>
      <w:r w:rsidR="00B95BD2">
        <w:rPr>
          <w:rFonts w:cs="Calibri"/>
          <w:iCs/>
          <w:color w:val="000000"/>
          <w:lang w:val="el-GR"/>
        </w:rPr>
        <w:t>,</w:t>
      </w:r>
      <w:r w:rsidRPr="00215334">
        <w:rPr>
          <w:rFonts w:cs="Calibri"/>
          <w:iCs/>
          <w:color w:val="000000"/>
          <w:lang w:val="el-GR"/>
        </w:rPr>
        <w:t xml:space="preserve"> </w:t>
      </w:r>
      <w:r w:rsidR="006A78BC">
        <w:rPr>
          <w:rFonts w:cs="Calibri"/>
          <w:iCs/>
          <w:color w:val="000000"/>
          <w:lang w:val="el-GR"/>
        </w:rPr>
        <w:t xml:space="preserve">και </w:t>
      </w:r>
      <w:r w:rsidR="00B95BD2">
        <w:rPr>
          <w:rFonts w:cs="Calibri"/>
          <w:iCs/>
          <w:color w:val="000000"/>
          <w:lang w:val="el-GR"/>
        </w:rPr>
        <w:t>συνεπακόλουθα</w:t>
      </w:r>
      <w:r w:rsidR="006A78BC">
        <w:rPr>
          <w:rFonts w:cs="Calibri"/>
          <w:iCs/>
          <w:color w:val="000000"/>
          <w:lang w:val="el-GR"/>
        </w:rPr>
        <w:t xml:space="preserve"> </w:t>
      </w:r>
      <w:r w:rsidR="00D3401D">
        <w:rPr>
          <w:rFonts w:cs="Calibri"/>
          <w:iCs/>
          <w:color w:val="000000"/>
          <w:lang w:val="el-GR"/>
        </w:rPr>
        <w:t>στον</w:t>
      </w:r>
      <w:r w:rsidRPr="00370CC7">
        <w:rPr>
          <w:rFonts w:cs="Calibri"/>
          <w:iCs/>
          <w:color w:val="000000"/>
          <w:lang w:val="el-GR"/>
        </w:rPr>
        <w:t xml:space="preserve"> </w:t>
      </w:r>
      <w:r w:rsidR="006A78BC">
        <w:rPr>
          <w:rFonts w:cs="Calibri"/>
          <w:iCs/>
          <w:color w:val="000000"/>
          <w:lang w:val="el-GR"/>
        </w:rPr>
        <w:t>εθνικ</w:t>
      </w:r>
      <w:r w:rsidR="00D3401D">
        <w:rPr>
          <w:rFonts w:cs="Calibri"/>
          <w:iCs/>
          <w:color w:val="000000"/>
          <w:lang w:val="el-GR"/>
        </w:rPr>
        <w:t>ό</w:t>
      </w:r>
      <w:r w:rsidR="006A78BC">
        <w:rPr>
          <w:rFonts w:cs="Calibri"/>
          <w:iCs/>
          <w:color w:val="000000"/>
          <w:lang w:val="el-GR"/>
        </w:rPr>
        <w:t xml:space="preserve"> </w:t>
      </w:r>
      <w:r w:rsidRPr="00370CC7">
        <w:rPr>
          <w:rFonts w:cs="Calibri"/>
          <w:iCs/>
          <w:color w:val="000000"/>
          <w:lang w:val="el-GR"/>
        </w:rPr>
        <w:t xml:space="preserve">στόχο </w:t>
      </w:r>
      <w:r w:rsidR="006A78BC">
        <w:rPr>
          <w:rFonts w:cs="Calibri"/>
          <w:iCs/>
          <w:color w:val="000000"/>
          <w:lang w:val="el-GR"/>
        </w:rPr>
        <w:t xml:space="preserve">αύξησης </w:t>
      </w:r>
      <w:r w:rsidRPr="00370CC7">
        <w:rPr>
          <w:rFonts w:cs="Calibri"/>
          <w:iCs/>
          <w:color w:val="000000"/>
          <w:lang w:val="el-GR"/>
        </w:rPr>
        <w:t>της ενεργειακής απ</w:t>
      </w:r>
      <w:r>
        <w:rPr>
          <w:rFonts w:cs="Calibri"/>
          <w:iCs/>
          <w:color w:val="000000"/>
          <w:lang w:val="el-GR"/>
        </w:rPr>
        <w:t>ό</w:t>
      </w:r>
      <w:r w:rsidRPr="00370CC7">
        <w:rPr>
          <w:rFonts w:cs="Calibri"/>
          <w:iCs/>
          <w:color w:val="000000"/>
          <w:lang w:val="el-GR"/>
        </w:rPr>
        <w:t>δοσης.</w:t>
      </w:r>
    </w:p>
    <w:p w14:paraId="325A4FB0" w14:textId="77777777" w:rsidR="00496867" w:rsidRPr="00496867" w:rsidRDefault="00496867" w:rsidP="007F59D1">
      <w:pPr>
        <w:ind w:left="720"/>
        <w:jc w:val="both"/>
        <w:rPr>
          <w:rFonts w:cs="Calibri"/>
          <w:iCs/>
          <w:color w:val="000000"/>
          <w:lang w:val="el-GR"/>
        </w:rPr>
      </w:pPr>
      <w:r w:rsidRPr="00496867">
        <w:rPr>
          <w:rFonts w:cs="Calibri"/>
          <w:iCs/>
          <w:color w:val="000000"/>
          <w:lang w:val="el-GR"/>
        </w:rPr>
        <w:t xml:space="preserve">Παράλληλα, μέχρι την ολοκλήρωση του 2016 δεν υπήρξαν </w:t>
      </w:r>
      <w:r w:rsidRPr="00496867">
        <w:rPr>
          <w:rFonts w:cs="Calibri"/>
          <w:b/>
          <w:iCs/>
          <w:color w:val="000000"/>
          <w:lang w:val="el-GR"/>
        </w:rPr>
        <w:t>παρεμβάσεις εξοικονόμησης ενέργειας σε δημόσια κτίρια</w:t>
      </w:r>
      <w:r w:rsidRPr="00496867">
        <w:rPr>
          <w:rFonts w:cs="Calibri"/>
          <w:iCs/>
          <w:color w:val="000000"/>
          <w:lang w:val="el-GR"/>
        </w:rPr>
        <w:t xml:space="preserve"> με αποτέλεσμα να είναι </w:t>
      </w:r>
      <w:r w:rsidRPr="00496867">
        <w:rPr>
          <w:rFonts w:cs="Calibri"/>
          <w:b/>
          <w:iCs/>
          <w:color w:val="000000"/>
          <w:lang w:val="el-GR"/>
        </w:rPr>
        <w:t xml:space="preserve">μηδενική η συνεισφορά του Ταμείου </w:t>
      </w:r>
      <w:r w:rsidR="00882F85">
        <w:rPr>
          <w:rFonts w:cs="Calibri"/>
          <w:b/>
          <w:iCs/>
          <w:color w:val="000000"/>
          <w:lang w:val="el-GR"/>
        </w:rPr>
        <w:t xml:space="preserve">Συνοχής </w:t>
      </w:r>
      <w:r w:rsidRPr="00496867">
        <w:rPr>
          <w:rFonts w:cs="Calibri"/>
          <w:iCs/>
          <w:color w:val="000000"/>
          <w:lang w:val="el-GR"/>
        </w:rPr>
        <w:t xml:space="preserve">στο </w:t>
      </w:r>
      <w:r w:rsidRPr="00496867">
        <w:rPr>
          <w:rFonts w:cs="Calibri"/>
          <w:b/>
          <w:iCs/>
          <w:color w:val="000000"/>
          <w:lang w:val="el-GR"/>
        </w:rPr>
        <w:t>δείκτη εκροών CO32 του πλαισίου επίδοσης</w:t>
      </w:r>
      <w:r w:rsidRPr="00496867">
        <w:rPr>
          <w:rFonts w:cs="Calibri"/>
          <w:iCs/>
          <w:color w:val="000000"/>
          <w:lang w:val="el-GR"/>
        </w:rPr>
        <w:t xml:space="preserve">, που αφορά </w:t>
      </w:r>
      <w:r w:rsidR="00882F85">
        <w:rPr>
          <w:rFonts w:cs="Calibri"/>
          <w:iCs/>
          <w:color w:val="000000"/>
          <w:lang w:val="el-GR"/>
        </w:rPr>
        <w:t>σ</w:t>
      </w:r>
      <w:r w:rsidRPr="00496867">
        <w:rPr>
          <w:rFonts w:cs="Calibri"/>
          <w:iCs/>
          <w:color w:val="000000"/>
          <w:lang w:val="el-GR"/>
        </w:rPr>
        <w:t xml:space="preserve">τη μείωση της ετήσιας κατανάλωσης πρωτογενούς ενέργειας από τα δημόσια κτίρια. </w:t>
      </w:r>
    </w:p>
    <w:p w14:paraId="4DAFF28C" w14:textId="569A8440" w:rsidR="00496867" w:rsidRPr="00496867" w:rsidRDefault="00496867" w:rsidP="007F59D1">
      <w:pPr>
        <w:ind w:left="720"/>
        <w:jc w:val="both"/>
        <w:rPr>
          <w:rFonts w:cs="Calibri"/>
          <w:iCs/>
          <w:color w:val="000000"/>
          <w:lang w:val="el-GR"/>
        </w:rPr>
      </w:pPr>
      <w:r w:rsidRPr="00496867">
        <w:rPr>
          <w:rFonts w:cs="Calibri"/>
          <w:iCs/>
          <w:color w:val="000000"/>
          <w:lang w:val="el-GR"/>
        </w:rPr>
        <w:t xml:space="preserve">Επίσης, </w:t>
      </w:r>
      <w:r w:rsidRPr="00496867">
        <w:rPr>
          <w:rFonts w:cs="Calibri"/>
          <w:b/>
          <w:iCs/>
          <w:color w:val="000000"/>
          <w:lang w:val="el-GR"/>
        </w:rPr>
        <w:t>μέσω της χρήσης των πόρων του ΕΤΘΑ</w:t>
      </w:r>
      <w:r w:rsidRPr="00496867">
        <w:rPr>
          <w:rFonts w:cs="Calibri"/>
          <w:iCs/>
          <w:color w:val="000000"/>
          <w:lang w:val="el-GR"/>
        </w:rPr>
        <w:t xml:space="preserve">, προβλέπεται η αύξηση του ποσοστού εξοικονόμησης ενέργειας στον αλιευτικό τομέα, αλλά μέχρι </w:t>
      </w:r>
      <w:r w:rsidR="00882F85">
        <w:rPr>
          <w:rFonts w:cs="Calibri"/>
          <w:iCs/>
          <w:color w:val="000000"/>
          <w:lang w:val="el-GR"/>
        </w:rPr>
        <w:t>τις</w:t>
      </w:r>
      <w:r w:rsidRPr="00496867">
        <w:rPr>
          <w:rFonts w:cs="Calibri"/>
          <w:iCs/>
          <w:color w:val="000000"/>
          <w:lang w:val="el-GR"/>
        </w:rPr>
        <w:t xml:space="preserve"> 31/12/2016 δεν είχαν προκηρυχθεί σχετικές δράσεις. </w:t>
      </w:r>
    </w:p>
    <w:p w14:paraId="71F8B601" w14:textId="5564194B" w:rsidR="00FC7A7B" w:rsidRPr="00FC7A7B" w:rsidRDefault="00496867" w:rsidP="007F59D1">
      <w:pPr>
        <w:ind w:left="720"/>
        <w:jc w:val="both"/>
        <w:rPr>
          <w:rFonts w:cs="Calibri"/>
          <w:iCs/>
          <w:lang w:val="el-GR"/>
        </w:rPr>
      </w:pPr>
      <w:r w:rsidRPr="00496867">
        <w:rPr>
          <w:rFonts w:cs="Calibri"/>
          <w:iCs/>
          <w:lang w:val="el-GR"/>
        </w:rPr>
        <w:t xml:space="preserve">Δεδομένου ότι η υλοποίηση του ΠΑΑ μέχρι 31/12/2016 δεν έχει προχωρήσει στο εν λόγω πεδίο, το συμπέρασμα που συνάγεται είναι ότι το </w:t>
      </w:r>
      <w:r w:rsidRPr="00496867">
        <w:rPr>
          <w:rFonts w:cs="Calibri"/>
          <w:b/>
          <w:iCs/>
          <w:lang w:val="el-GR"/>
        </w:rPr>
        <w:t>ΕΓΤΑΑ</w:t>
      </w:r>
      <w:r w:rsidRPr="00496867">
        <w:rPr>
          <w:rFonts w:cs="Calibri"/>
          <w:iCs/>
          <w:lang w:val="el-GR"/>
        </w:rPr>
        <w:t xml:space="preserve"> προς το παρόν δεν έχει συνεισφέρει</w:t>
      </w:r>
      <w:r w:rsidR="00882F85">
        <w:rPr>
          <w:rFonts w:cs="Calibri"/>
          <w:iCs/>
          <w:lang w:val="el-GR"/>
        </w:rPr>
        <w:t xml:space="preserve"> στον εθνικό στόχο</w:t>
      </w:r>
      <w:r w:rsidRPr="00496867">
        <w:rPr>
          <w:rFonts w:cs="Calibri"/>
          <w:iCs/>
          <w:lang w:val="el-GR"/>
        </w:rPr>
        <w:t>.</w:t>
      </w:r>
      <w:r w:rsidR="00FC7A7B" w:rsidRPr="00FC7A7B">
        <w:rPr>
          <w:rFonts w:cs="Calibri"/>
          <w:iCs/>
          <w:lang w:val="el-GR"/>
        </w:rPr>
        <w:t xml:space="preserve"> Σημειώνεται όμως ότι στις επενδύσεις των γεωργοκτηνοτροφικών εκμεταλλεύσεων περιλαμβάνονται ως επιλέξιμες </w:t>
      </w:r>
      <w:r w:rsidR="00882F85">
        <w:rPr>
          <w:rFonts w:cs="Calibri"/>
          <w:iCs/>
          <w:lang w:val="el-GR"/>
        </w:rPr>
        <w:t xml:space="preserve">οι </w:t>
      </w:r>
      <w:r w:rsidR="00FC7A7B" w:rsidRPr="00FC7A7B">
        <w:rPr>
          <w:rFonts w:cs="Calibri"/>
          <w:iCs/>
          <w:lang w:val="el-GR"/>
        </w:rPr>
        <w:t xml:space="preserve">δαπάνες στον τομέα των ΑΠΕ, ενώ έχει γίνει υποδοχή 604 αιτήσεων </w:t>
      </w:r>
      <w:r w:rsidR="00882F85">
        <w:rPr>
          <w:rFonts w:cs="Calibri"/>
          <w:iCs/>
          <w:lang w:val="el-GR"/>
        </w:rPr>
        <w:t>που</w:t>
      </w:r>
      <w:r w:rsidR="00FC7A7B" w:rsidRPr="00FC7A7B">
        <w:rPr>
          <w:rFonts w:cs="Calibri"/>
          <w:iCs/>
          <w:lang w:val="el-GR"/>
        </w:rPr>
        <w:t xml:space="preserve"> βρίσκονται στο στάδιο της αξιολόγησης.</w:t>
      </w:r>
    </w:p>
    <w:p w14:paraId="6D6B39B3" w14:textId="2257E1D3" w:rsidR="00496867" w:rsidRPr="00496867" w:rsidRDefault="00496867" w:rsidP="001D583B">
      <w:pPr>
        <w:numPr>
          <w:ilvl w:val="0"/>
          <w:numId w:val="13"/>
        </w:numPr>
        <w:jc w:val="both"/>
        <w:rPr>
          <w:rFonts w:cs="Calibri"/>
          <w:b/>
          <w:iCs/>
          <w:color w:val="000000"/>
          <w:lang w:val="el-GR"/>
        </w:rPr>
      </w:pPr>
      <w:r w:rsidRPr="00496867">
        <w:rPr>
          <w:rFonts w:cs="Calibri"/>
          <w:b/>
          <w:iCs/>
          <w:color w:val="000000"/>
          <w:lang w:val="el-GR"/>
        </w:rPr>
        <w:lastRenderedPageBreak/>
        <w:t>Σχολική Εκπαίδευση:</w:t>
      </w:r>
      <w:r w:rsidRPr="00496867">
        <w:rPr>
          <w:rFonts w:cs="Calibri"/>
          <w:iCs/>
          <w:color w:val="000000"/>
          <w:lang w:val="el-GR"/>
        </w:rPr>
        <w:t xml:space="preserve"> η Κύπρος έχει ήδη επιτύχει τον εθνικό της στόχο, ενώ παράλληλα εξακολουθεί να πραγματοποιεί σημαντική πρόοδο για την αντιμετώπιση αυτού του ζητήματος. Η πρόωρη σχολική εγκατάλειψη είχε συρρικνωθεί στο 5,2% το 2015 (στα αγόρια 7,7%, στα κορίτσια 3,1%), αλλά το 2016 αυξήθηκε στο 7,7% (11,4% στα αγόρια και 4,3% στα κορίτσια). Παρόλα αυτά καλύπτει το</w:t>
      </w:r>
      <w:r w:rsidR="00882F85">
        <w:rPr>
          <w:rFonts w:cs="Calibri"/>
          <w:iCs/>
          <w:color w:val="000000"/>
          <w:lang w:val="el-GR"/>
        </w:rPr>
        <w:t>ν εθνικό</w:t>
      </w:r>
      <w:r w:rsidRPr="00496867">
        <w:rPr>
          <w:rFonts w:cs="Calibri"/>
          <w:iCs/>
          <w:color w:val="000000"/>
          <w:lang w:val="el-GR"/>
        </w:rPr>
        <w:t xml:space="preserve"> στόχο</w:t>
      </w:r>
      <w:r w:rsidR="00882F85">
        <w:rPr>
          <w:rFonts w:cs="Calibri"/>
          <w:iCs/>
          <w:color w:val="000000"/>
          <w:lang w:val="el-GR"/>
        </w:rPr>
        <w:t xml:space="preserve"> του</w:t>
      </w:r>
      <w:r w:rsidRPr="00496867">
        <w:rPr>
          <w:rFonts w:cs="Calibri"/>
          <w:iCs/>
          <w:color w:val="000000"/>
          <w:lang w:val="el-GR"/>
        </w:rPr>
        <w:t xml:space="preserve"> 10% </w:t>
      </w:r>
      <w:r w:rsidR="00882F85">
        <w:rPr>
          <w:rFonts w:cs="Calibri"/>
          <w:iCs/>
          <w:color w:val="000000"/>
          <w:lang w:val="el-GR"/>
        </w:rPr>
        <w:t>για το</w:t>
      </w:r>
      <w:r w:rsidRPr="00496867">
        <w:rPr>
          <w:rFonts w:cs="Calibri"/>
          <w:iCs/>
          <w:color w:val="000000"/>
          <w:lang w:val="el-GR"/>
        </w:rPr>
        <w:t xml:space="preserve"> 2020.</w:t>
      </w:r>
    </w:p>
    <w:p w14:paraId="45917340" w14:textId="19BC5047" w:rsidR="00496867" w:rsidRPr="00496867" w:rsidRDefault="00496867" w:rsidP="007F59D1">
      <w:pPr>
        <w:ind w:left="720"/>
        <w:jc w:val="both"/>
        <w:rPr>
          <w:rFonts w:cs="Calibri"/>
          <w:b/>
          <w:iCs/>
          <w:lang w:val="el-GR"/>
        </w:rPr>
      </w:pPr>
      <w:r w:rsidRPr="00496867">
        <w:rPr>
          <w:rFonts w:cs="Calibri"/>
          <w:iCs/>
          <w:lang w:val="el-GR"/>
        </w:rPr>
        <w:t xml:space="preserve">Το </w:t>
      </w:r>
      <w:r w:rsidRPr="00496867">
        <w:rPr>
          <w:rFonts w:cs="Calibri"/>
          <w:b/>
          <w:iCs/>
          <w:lang w:val="el-GR"/>
        </w:rPr>
        <w:t>ΕΚΤ</w:t>
      </w:r>
      <w:r w:rsidRPr="00496867">
        <w:rPr>
          <w:rFonts w:cs="Calibri"/>
          <w:iCs/>
          <w:lang w:val="el-GR"/>
        </w:rPr>
        <w:t xml:space="preserve"> συμβάλει στην επίτευξη του εθνικού στόχου για τη μείωση του ποσοστού πρόωρης εγκατάλειψης μέσω του </w:t>
      </w:r>
      <w:r w:rsidRPr="00496867">
        <w:rPr>
          <w:rFonts w:cs="Calibri"/>
          <w:b/>
          <w:iCs/>
          <w:lang w:val="el-GR"/>
        </w:rPr>
        <w:t>Θ.Σ. 9</w:t>
      </w:r>
      <w:r w:rsidR="00882F85">
        <w:rPr>
          <w:rFonts w:cs="Calibri"/>
          <w:b/>
          <w:iCs/>
          <w:lang w:val="el-GR"/>
        </w:rPr>
        <w:t>.</w:t>
      </w:r>
      <w:r w:rsidRPr="00496867">
        <w:rPr>
          <w:rFonts w:cs="Calibri"/>
          <w:iCs/>
          <w:lang w:val="el-GR"/>
        </w:rPr>
        <w:t xml:space="preserve"> </w:t>
      </w:r>
      <w:r w:rsidR="00882F85">
        <w:rPr>
          <w:rFonts w:cs="Calibri"/>
          <w:iCs/>
          <w:lang w:val="el-GR"/>
        </w:rPr>
        <w:t>Ε</w:t>
      </w:r>
      <w:r w:rsidRPr="00496867">
        <w:rPr>
          <w:rFonts w:cs="Calibri"/>
          <w:iCs/>
          <w:lang w:val="el-GR"/>
        </w:rPr>
        <w:t>ιδικότερα</w:t>
      </w:r>
      <w:r w:rsidR="00882F85">
        <w:rPr>
          <w:rFonts w:cs="Calibri"/>
          <w:iCs/>
          <w:lang w:val="el-GR"/>
        </w:rPr>
        <w:t>,</w:t>
      </w:r>
      <w:r w:rsidRPr="00496867">
        <w:rPr>
          <w:rFonts w:cs="Calibri"/>
          <w:iCs/>
          <w:lang w:val="el-GR"/>
        </w:rPr>
        <w:t xml:space="preserve"> </w:t>
      </w:r>
      <w:r w:rsidR="00882F85">
        <w:rPr>
          <w:rFonts w:cs="Calibri"/>
          <w:iCs/>
          <w:lang w:val="el-GR"/>
        </w:rPr>
        <w:t>το</w:t>
      </w:r>
      <w:r w:rsidRPr="00496867">
        <w:rPr>
          <w:rFonts w:cs="Calibri"/>
          <w:iCs/>
          <w:lang w:val="el-GR"/>
        </w:rPr>
        <w:t xml:space="preserve"> έργο  </w:t>
      </w:r>
      <w:r w:rsidRPr="00496867">
        <w:rPr>
          <w:rFonts w:cs="Calibri"/>
          <w:b/>
          <w:iCs/>
          <w:lang w:val="el-GR"/>
        </w:rPr>
        <w:t>«Δράσεις Σχολικής και Κοινωνικής Ένταξης – ΔΡΑΣΕ»</w:t>
      </w:r>
      <w:r w:rsidRPr="00496867">
        <w:rPr>
          <w:rFonts w:cs="Calibri"/>
          <w:iCs/>
          <w:lang w:val="el-GR"/>
        </w:rPr>
        <w:t xml:space="preserve"> στοχεύει στην αντιμετώπιση των αρνητικών συνεπειών της οικονομικής κρίσης στην εκπαίδευση και κατ’ επέκταση στους ευάλωτους μαθητές, αφού αποτελεί ένα χρήσιμο εργαλείο για την αντιμετώπιση των οξυμμένων προβλημάτων και των προκλήσεων που χαρακτηρίζουν το κυπριακό εκπαιδευτικό σύστημα. Επιμέρους στόχοι του έργου είναι η στήριξη ατόμων που ζουν κάτω από το όριο της φτώχειας ή βρίσκονται σε κίνδυνο φτώχειας και κοινωνικού αποκλεισμού, η ενίσχυση της κοινωνικής συνοχής με τον περιορισμό του κινδύνου κοινωνικής περιθωριοποίησης και αποκλεισμού, η βελτίωση των μαθησιακών αποτελεσμάτων και η μείωση της σχολικής αποτυχίας και της παραβατικότητας. Το έργο ξεκίνησε το 2015, με τη στήριξη εθνικών πόρων, και εξακολουθεί να υλοποιείται με δράσεις που αφορούν στη διδασκαλία των προγραμμάτων δημιουργικής απασχόλησης και ενισχυτικής διδασκαλίας, στην ενισχυτική διδασκαλία  και δημιουργική απασχόληση, ενώ σύντομα αναμένεται να αρχίσει η λειτουργία των Κέντρων Πληροφόρησης και Ψυχοκοινωνικής Στήριξης.</w:t>
      </w:r>
      <w:r w:rsidRPr="00496867">
        <w:rPr>
          <w:rFonts w:cs="Calibri"/>
          <w:b/>
          <w:iCs/>
          <w:lang w:val="el-GR"/>
        </w:rPr>
        <w:t xml:space="preserve"> </w:t>
      </w:r>
      <w:r w:rsidRPr="00496867">
        <w:rPr>
          <w:lang w:val="el-GR"/>
        </w:rPr>
        <w:t xml:space="preserve">Το έργο συνδέεται με τον </w:t>
      </w:r>
      <w:r w:rsidRPr="00496867">
        <w:rPr>
          <w:b/>
          <w:lang w:val="el-GR"/>
        </w:rPr>
        <w:t xml:space="preserve">Ειδικό Δείκτη Εκροών Ε931: </w:t>
      </w:r>
      <w:r w:rsidRPr="00496867">
        <w:rPr>
          <w:lang w:val="el-GR"/>
        </w:rPr>
        <w:t xml:space="preserve">Μαθητικός πληθυσμός </w:t>
      </w:r>
      <w:r w:rsidR="00882F85">
        <w:rPr>
          <w:lang w:val="el-GR"/>
        </w:rPr>
        <w:t>πρωτο</w:t>
      </w:r>
      <w:r w:rsidRPr="00496867">
        <w:rPr>
          <w:lang w:val="el-GR"/>
        </w:rPr>
        <w:t xml:space="preserve">βάθμιας και </w:t>
      </w:r>
      <w:r w:rsidR="00882F85">
        <w:rPr>
          <w:lang w:val="el-GR"/>
        </w:rPr>
        <w:t>δευτερο</w:t>
      </w:r>
      <w:r w:rsidRPr="00496867">
        <w:rPr>
          <w:lang w:val="el-GR"/>
        </w:rPr>
        <w:t>βάθμιας εκπαίδευσης που συμμετέχει σε πρόγραμμα εκπαιδευτικής προτεραιότητας,</w:t>
      </w:r>
      <w:r w:rsidRPr="00496867">
        <w:rPr>
          <w:b/>
          <w:lang w:val="el-GR"/>
        </w:rPr>
        <w:t xml:space="preserve"> </w:t>
      </w:r>
      <w:r w:rsidRPr="00496867">
        <w:rPr>
          <w:lang w:val="el-GR"/>
        </w:rPr>
        <w:t xml:space="preserve">ο οποίος περιλαμβάνεται και στο πλαίσιο επιδόσεων. Καθώς η ένταξη του έργου στο ΕΠ «Απασχόληση, Ανθρώπινοι Πόροι και Κοινωνική Συνοχή» έχει δρομολογηθεί για το 2017, το αποτύπωμα του </w:t>
      </w:r>
      <w:r w:rsidR="00F76A9D">
        <w:rPr>
          <w:lang w:val="el-GR"/>
        </w:rPr>
        <w:t xml:space="preserve">δείκτη </w:t>
      </w:r>
      <w:r w:rsidRPr="00496867">
        <w:rPr>
          <w:lang w:val="el-GR"/>
        </w:rPr>
        <w:t>στο πλαίσιο επίδοσης μέχρι τις 31/12/2016 ήταν μηδενικό, χωρίς όμως αυτό να αναιρεί τη συμβολή της συγκεκριμένης δράσης στην επίτευξη του εθνικού στόχου.</w:t>
      </w:r>
    </w:p>
    <w:p w14:paraId="77FF3563" w14:textId="4FFE6238" w:rsidR="00496867" w:rsidRPr="00496867" w:rsidRDefault="00496867" w:rsidP="001D583B">
      <w:pPr>
        <w:numPr>
          <w:ilvl w:val="0"/>
          <w:numId w:val="13"/>
        </w:numPr>
        <w:jc w:val="both"/>
        <w:rPr>
          <w:rFonts w:cs="Calibri"/>
          <w:iCs/>
          <w:color w:val="000000"/>
          <w:lang w:val="el-GR"/>
        </w:rPr>
      </w:pPr>
      <w:r w:rsidRPr="00496867">
        <w:rPr>
          <w:rFonts w:cs="Calibri"/>
          <w:b/>
          <w:iCs/>
          <w:color w:val="000000"/>
          <w:lang w:val="el-GR"/>
        </w:rPr>
        <w:t>Τριτοβάθμια Εκπαίδευση:</w:t>
      </w:r>
      <w:r w:rsidRPr="00496867">
        <w:rPr>
          <w:rFonts w:cs="Calibri"/>
          <w:iCs/>
          <w:color w:val="000000"/>
          <w:lang w:val="el-GR"/>
        </w:rPr>
        <w:t xml:space="preserve"> η τριτοβάθμια εκπαίδευση στην Κύπρο είναι γενικευμένη, αλλά η απασχολησιμότητα των νέων πτυχιούχων εξακολουθεί να αποτελεί μείζον ζήτημα. Η Κύπρος έχει από τα υψηλότερα ποσοστά ολοκλήρωσης των σπουδών τριτοβάθμιας εκπαίδευσης στην Ε.Ε.</w:t>
      </w:r>
      <w:r w:rsidR="00882F85">
        <w:rPr>
          <w:rFonts w:cs="Calibri"/>
          <w:iCs/>
          <w:color w:val="000000"/>
          <w:lang w:val="el-GR"/>
        </w:rPr>
        <w:t>,</w:t>
      </w:r>
      <w:r w:rsidRPr="00496867">
        <w:rPr>
          <w:rFonts w:cs="Calibri"/>
          <w:iCs/>
          <w:color w:val="000000"/>
          <w:lang w:val="el-GR"/>
        </w:rPr>
        <w:t xml:space="preserve"> που φθάνει στο </w:t>
      </w:r>
      <w:r w:rsidR="00A157D7">
        <w:rPr>
          <w:rFonts w:cs="Calibri"/>
          <w:iCs/>
          <w:color w:val="000000"/>
          <w:lang w:val="el-GR"/>
        </w:rPr>
        <w:t>53,4</w:t>
      </w:r>
      <w:r w:rsidRPr="00496867">
        <w:rPr>
          <w:rFonts w:cs="Calibri"/>
          <w:iCs/>
          <w:color w:val="000000"/>
          <w:lang w:val="el-GR"/>
        </w:rPr>
        <w:t>%</w:t>
      </w:r>
      <w:r w:rsidR="00882F85">
        <w:rPr>
          <w:rFonts w:cs="Calibri"/>
          <w:iCs/>
          <w:color w:val="000000"/>
          <w:lang w:val="el-GR"/>
        </w:rPr>
        <w:t xml:space="preserve"> το 201</w:t>
      </w:r>
      <w:r w:rsidR="00A157D7">
        <w:rPr>
          <w:rFonts w:cs="Calibri"/>
          <w:iCs/>
          <w:color w:val="000000"/>
          <w:lang w:val="el-GR"/>
        </w:rPr>
        <w:t>6</w:t>
      </w:r>
      <w:r w:rsidRPr="00496867">
        <w:rPr>
          <w:rFonts w:cs="Calibri"/>
          <w:iCs/>
          <w:color w:val="000000"/>
          <w:lang w:val="el-GR"/>
        </w:rPr>
        <w:t xml:space="preserve">, </w:t>
      </w:r>
      <w:r w:rsidR="006A78BC">
        <w:rPr>
          <w:rFonts w:cs="Calibri"/>
          <w:iCs/>
          <w:color w:val="000000"/>
          <w:lang w:val="el-GR"/>
        </w:rPr>
        <w:t>υπερκαλύπτοντας</w:t>
      </w:r>
      <w:r w:rsidRPr="00496867">
        <w:rPr>
          <w:rFonts w:cs="Calibri"/>
          <w:iCs/>
          <w:color w:val="000000"/>
          <w:lang w:val="el-GR"/>
        </w:rPr>
        <w:t xml:space="preserve"> κατά πολύ τον εθνικό στόχο του 46% </w:t>
      </w:r>
      <w:r w:rsidR="00882F85">
        <w:rPr>
          <w:rFonts w:cs="Calibri"/>
          <w:iCs/>
          <w:color w:val="000000"/>
          <w:lang w:val="el-GR"/>
        </w:rPr>
        <w:t>για το 2020</w:t>
      </w:r>
      <w:r w:rsidRPr="00496867">
        <w:rPr>
          <w:rFonts w:cs="Calibri"/>
          <w:iCs/>
          <w:color w:val="000000"/>
          <w:lang w:val="el-GR"/>
        </w:rPr>
        <w:t>, πλην όμως με σημαντικό χάσμα μεταξύ ανδρών και γυναικών (άνδρες 43,7%, γυναίκες 62,1%).</w:t>
      </w:r>
    </w:p>
    <w:p w14:paraId="14B020B0" w14:textId="635E6541" w:rsidR="008E1F78" w:rsidRPr="008E1F78" w:rsidRDefault="008E1F78" w:rsidP="007F59D1">
      <w:pPr>
        <w:ind w:left="720"/>
        <w:jc w:val="both"/>
        <w:rPr>
          <w:iCs/>
          <w:lang w:val="el-GR"/>
        </w:rPr>
      </w:pPr>
      <w:r w:rsidRPr="008E1F78">
        <w:rPr>
          <w:iCs/>
          <w:lang w:val="el-GR"/>
        </w:rPr>
        <w:t xml:space="preserve">Στο πλαίσιο του </w:t>
      </w:r>
      <w:r w:rsidRPr="008E1F78">
        <w:rPr>
          <w:b/>
          <w:bCs/>
          <w:iCs/>
          <w:lang w:val="el-GR"/>
        </w:rPr>
        <w:t>ΕΚΤ</w:t>
      </w:r>
      <w:r w:rsidRPr="008E1F78">
        <w:rPr>
          <w:iCs/>
          <w:lang w:val="el-GR"/>
        </w:rPr>
        <w:t xml:space="preserve"> επιδιώκεται η  βελτίωση της πρόσβασης στην απασχόληση για τους αποφοίτους της τριτοβάθμιας εκπαίδευσης μέσω του </w:t>
      </w:r>
      <w:r w:rsidRPr="008E1F78">
        <w:rPr>
          <w:b/>
          <w:bCs/>
          <w:iCs/>
          <w:lang w:val="el-GR"/>
        </w:rPr>
        <w:t xml:space="preserve">Θ.Σ.10, </w:t>
      </w:r>
      <w:r w:rsidRPr="008E1F78">
        <w:rPr>
          <w:iCs/>
          <w:lang w:val="el-GR"/>
        </w:rPr>
        <w:t>με τη στήριξη δράσεων</w:t>
      </w:r>
      <w:r w:rsidRPr="008E1F78">
        <w:rPr>
          <w:b/>
          <w:bCs/>
          <w:iCs/>
          <w:lang w:val="el-GR"/>
        </w:rPr>
        <w:t xml:space="preserve"> </w:t>
      </w:r>
      <w:r w:rsidRPr="008E1F78">
        <w:rPr>
          <w:iCs/>
          <w:lang w:val="el-GR"/>
        </w:rPr>
        <w:t>που στοχεύουν στην καλύτερη διασύνδεση του εκπαιδευτικού συστήματος με την αγορά εργασίας, κυρίως μέσω της τοποθέτησης φοιτητών σε επιχειρήσεις για πρακτική άσκηση, η οποία θα οδηγήσει σε απόκτηση εργασιακής πείρας.</w:t>
      </w:r>
      <w:r w:rsidRPr="008E1F78">
        <w:rPr>
          <w:iCs/>
        </w:rPr>
        <w:t> </w:t>
      </w:r>
      <w:r w:rsidRPr="008E1F78">
        <w:rPr>
          <w:iCs/>
          <w:lang w:val="el-GR"/>
        </w:rPr>
        <w:t xml:space="preserve"> Για το σκοπό αυτό το προηγούμενο διάστημα προετοιμάστηκε και θα ξεκινήσει να υλοποιείται εντός του 2017 το έργο </w:t>
      </w:r>
      <w:r w:rsidRPr="008E1F78">
        <w:rPr>
          <w:b/>
          <w:bCs/>
          <w:iCs/>
          <w:lang w:val="el-GR"/>
        </w:rPr>
        <w:t>«Γραφεία Διασύνδεσης με τον Επιχειρηματικό Κόσμο»,</w:t>
      </w:r>
      <w:r w:rsidRPr="008E1F78">
        <w:rPr>
          <w:iCs/>
          <w:lang w:val="el-GR"/>
        </w:rPr>
        <w:t xml:space="preserve">  το οποίο εξυπηρετεί τον Ειδικό Δείκτη Εκροών Ε1042 Αριθμός συμμετεχόντων Τριτοβάθμιας Εκπαίδευσης (</w:t>
      </w:r>
      <w:r w:rsidRPr="008E1F78">
        <w:rPr>
          <w:iCs/>
        </w:rPr>
        <w:t>ISCED</w:t>
      </w:r>
      <w:r w:rsidRPr="008E1F78">
        <w:rPr>
          <w:iCs/>
          <w:lang w:val="el-GR"/>
        </w:rPr>
        <w:t xml:space="preserve"> 5 έως 8), που όμως δεν περιλαμβάνεται στο πλαίσιο επίδοσης του Ε.Π. «Απασχόληση, Ανθρώπινοι Πόροι και Κοινωνική Συνοχή». Το έργο αποτελεί συνέχεια μιας αντίστοιχης δράσης που εφαρμόστηκε σε πιλοτικό επίπεδο κατά την προηγούμενη προγραμματική</w:t>
      </w:r>
      <w:r w:rsidR="003D0228">
        <w:rPr>
          <w:iCs/>
          <w:lang w:val="el-GR"/>
        </w:rPr>
        <w:t xml:space="preserve"> περίοδο</w:t>
      </w:r>
      <w:r w:rsidRPr="008E1F78">
        <w:rPr>
          <w:iCs/>
          <w:lang w:val="el-GR"/>
        </w:rPr>
        <w:t xml:space="preserve">, στο πλαίσιο της οποίας δημιουργήθηκαν έξι πρότυπα </w:t>
      </w:r>
      <w:r w:rsidRPr="008E1F78">
        <w:rPr>
          <w:iCs/>
          <w:lang w:val="el-GR"/>
        </w:rPr>
        <w:lastRenderedPageBreak/>
        <w:t>γραφεία διασύνδεσης, σε αντίστοιχα πανεπιστήμια της Κύπρου, με κύριες αρμοδιότητες την επικοινωνία και την προώθηση της συνεργασίας μεταξύ των Πανεπιστημίων και των επιχειρήσεων.</w:t>
      </w:r>
      <w:r w:rsidRPr="008E1F78">
        <w:rPr>
          <w:iCs/>
        </w:rPr>
        <w:t> </w:t>
      </w:r>
      <w:r w:rsidRPr="008E1F78">
        <w:rPr>
          <w:iCs/>
          <w:lang w:val="el-GR"/>
        </w:rPr>
        <w:t xml:space="preserve">Μέσω του νέου έργου που προωθείται, πρόκειται να αξιοποιηθούν τόσο οι εμπειρίες από τη λειτουργία των γραφείων όσο και τα μεθοδολογικά εργαλεία που αναπτύχθηκαν, προκειμένου να εξασφαλιστεί η περαιτέρω διασύνδεση της τριτοβάθμιας εκπαίδευσης με τον επιχειρηματικό κόσμο. </w:t>
      </w:r>
    </w:p>
    <w:p w14:paraId="43E2AE05" w14:textId="2BCED3F1" w:rsidR="00496867" w:rsidRPr="00496867" w:rsidRDefault="00496867" w:rsidP="001D583B">
      <w:pPr>
        <w:numPr>
          <w:ilvl w:val="0"/>
          <w:numId w:val="13"/>
        </w:numPr>
        <w:jc w:val="both"/>
        <w:rPr>
          <w:rFonts w:cs="Calibri"/>
          <w:b/>
          <w:iCs/>
          <w:color w:val="000000"/>
          <w:lang w:val="el-GR"/>
        </w:rPr>
      </w:pPr>
      <w:r w:rsidRPr="00496867">
        <w:rPr>
          <w:rFonts w:cs="Calibri"/>
          <w:b/>
          <w:iCs/>
          <w:color w:val="000000"/>
          <w:lang w:val="el-GR"/>
        </w:rPr>
        <w:t xml:space="preserve">Κίνδυνος Φτώχειας ή Κοινωνικού Αποκλεισμού: </w:t>
      </w:r>
      <w:r w:rsidRPr="00496867">
        <w:rPr>
          <w:rFonts w:cs="Calibri"/>
          <w:iCs/>
          <w:color w:val="000000"/>
          <w:lang w:val="el-GR"/>
        </w:rPr>
        <w:t xml:space="preserve">ο αριθμός των ατόμων που διατρέχουν κίνδυνο φτώχειας ή κοινωνικού αποκλεισμού αυξανόταν από το 2008 και το 2013 ανήλθε σε 27,8% του πληθυσμού. Το 2015 αυξήθηκε σε 28,9% (ποσοστό που αντιστοιχεί σε 63.000 περισσότερα άτομα που  σε σύγκριση με το 2008) </w:t>
      </w:r>
      <w:r w:rsidRPr="005E41E6">
        <w:rPr>
          <w:rFonts w:cs="Calibri"/>
          <w:iCs/>
          <w:color w:val="000000"/>
          <w:lang w:val="el-GR"/>
        </w:rPr>
        <w:t>καταδεικνύοντας μία δύσκολη πορεία προς την επίτευξη του εθνικού στόχου για το 2020.</w:t>
      </w:r>
      <w:r w:rsidRPr="00496867">
        <w:rPr>
          <w:rFonts w:cs="Calibri"/>
          <w:iCs/>
          <w:color w:val="000000"/>
          <w:lang w:val="el-GR"/>
        </w:rPr>
        <w:t xml:space="preserve"> </w:t>
      </w:r>
      <w:r w:rsidR="005E41E6">
        <w:rPr>
          <w:rFonts w:cs="Calibri"/>
          <w:iCs/>
          <w:color w:val="000000"/>
          <w:lang w:val="el-GR"/>
        </w:rPr>
        <w:t>Κ</w:t>
      </w:r>
      <w:r w:rsidRPr="00496867">
        <w:rPr>
          <w:rFonts w:cs="Calibri"/>
          <w:iCs/>
          <w:color w:val="000000"/>
          <w:lang w:val="el-GR"/>
        </w:rPr>
        <w:t>ατά τη διάρκεια του προγράμματος δημοσιονομικής προσαρμογή</w:t>
      </w:r>
      <w:r w:rsidR="005E41E6">
        <w:rPr>
          <w:rFonts w:cs="Calibri"/>
          <w:iCs/>
          <w:color w:val="000000"/>
          <w:lang w:val="el-GR"/>
        </w:rPr>
        <w:t>ς, η Κύπρος</w:t>
      </w:r>
      <w:r w:rsidRPr="00496867">
        <w:rPr>
          <w:rFonts w:cs="Calibri"/>
          <w:iCs/>
          <w:color w:val="000000"/>
          <w:lang w:val="el-GR"/>
        </w:rPr>
        <w:t xml:space="preserve"> αναμόρφωσε το σύστημα κοινωνικής πρόνοιας με στόχο να αμβλυνθούν οι κοινωνικές επιπτώσεις της οικονομικής κρίσης. Το 2012 το σύστημα κοινωνικής πρόνοιας της χώρας αποδείχθηκε αναποτελεσματικό να αντιμετωπίσει την ταχεία επιδείνωση του οικονομικού και κοινωνικού </w:t>
      </w:r>
      <w:r w:rsidRPr="00496867">
        <w:rPr>
          <w:rFonts w:cs="Calibri"/>
          <w:b/>
          <w:iCs/>
          <w:color w:val="000000"/>
          <w:lang w:val="el-GR"/>
        </w:rPr>
        <w:t xml:space="preserve"> </w:t>
      </w:r>
      <w:r w:rsidRPr="00496867">
        <w:rPr>
          <w:rFonts w:cs="Calibri"/>
          <w:iCs/>
          <w:color w:val="000000"/>
          <w:lang w:val="el-GR"/>
        </w:rPr>
        <w:t xml:space="preserve">περιβάλλοντος και την ανάγκη στήριξης αυξημένου αριθμού ατόμων που αντιμετώπιζαν κίνδυνο φτώχειας και κοινωνικού αποκλεισμού. Το εν λόγω σύστημα έπασχε από κατακερματισμό, ελλιπή στόχευση, ανεπαρκή συντονισμό, συχνές καταχρήσεις και δεν συνοδευόταν από κίνητρα για επανένταξη στην αγορά εργασίας. Η Κύπρος διαμόρφωσε σχέδιο μεταρρύθμισης </w:t>
      </w:r>
      <w:r w:rsidR="005E41E6">
        <w:rPr>
          <w:rFonts w:cs="Calibri"/>
          <w:iCs/>
          <w:color w:val="000000"/>
          <w:lang w:val="el-GR"/>
        </w:rPr>
        <w:t>με</w:t>
      </w:r>
      <w:r w:rsidRPr="00496867">
        <w:rPr>
          <w:rFonts w:cs="Calibri"/>
          <w:iCs/>
          <w:color w:val="000000"/>
          <w:lang w:val="el-GR"/>
        </w:rPr>
        <w:t xml:space="preserve"> στόχο τον εξορθολογισμό, την καλύτερη στόχευση των κοινωνικών παροχών σε εκείνους που τις έχουν περισσότερο ανάγκη και την προώθηση της κοινωνικής ένταξης.</w:t>
      </w:r>
    </w:p>
    <w:p w14:paraId="6A3AC47D" w14:textId="04B8A413" w:rsidR="00496867" w:rsidRPr="00496867" w:rsidRDefault="00496867" w:rsidP="007F59D1">
      <w:pPr>
        <w:ind w:left="720"/>
        <w:jc w:val="both"/>
        <w:rPr>
          <w:rFonts w:cs="Calibri"/>
          <w:iCs/>
          <w:color w:val="000000"/>
          <w:lang w:val="el-GR"/>
        </w:rPr>
      </w:pPr>
      <w:r w:rsidRPr="00496867">
        <w:rPr>
          <w:rFonts w:cs="Calibri"/>
          <w:iCs/>
          <w:color w:val="000000"/>
          <w:lang w:val="el-GR"/>
        </w:rPr>
        <w:t xml:space="preserve">Σε αυτό το πλαίσιο, </w:t>
      </w:r>
      <w:r w:rsidRPr="00496867">
        <w:rPr>
          <w:rFonts w:cs="Calibri"/>
          <w:b/>
          <w:iCs/>
          <w:color w:val="000000"/>
          <w:lang w:val="el-GR"/>
        </w:rPr>
        <w:t>οι πόροι του ΕΤΠΑ</w:t>
      </w:r>
      <w:r w:rsidRPr="00496867">
        <w:rPr>
          <w:rFonts w:cs="Calibri"/>
          <w:iCs/>
          <w:color w:val="000000"/>
          <w:lang w:val="el-GR"/>
        </w:rPr>
        <w:t xml:space="preserve"> συμβάλουν στην αντιμετώπιση της φτώχειας ή/και του κοινωνικού αποκλεισμού</w:t>
      </w:r>
      <w:r w:rsidR="005E41E6">
        <w:rPr>
          <w:rFonts w:cs="Calibri"/>
          <w:iCs/>
          <w:color w:val="000000"/>
          <w:lang w:val="el-GR"/>
        </w:rPr>
        <w:t>,</w:t>
      </w:r>
      <w:r w:rsidRPr="00496867">
        <w:rPr>
          <w:rFonts w:cs="Calibri"/>
          <w:iCs/>
          <w:color w:val="000000"/>
          <w:lang w:val="el-GR"/>
        </w:rPr>
        <w:t xml:space="preserve"> μέσω δράσεων που </w:t>
      </w:r>
      <w:r w:rsidR="005E41E6">
        <w:rPr>
          <w:rFonts w:cs="Calibri"/>
          <w:iCs/>
          <w:color w:val="000000"/>
          <w:lang w:val="el-GR"/>
        </w:rPr>
        <w:t>στοχεύουν</w:t>
      </w:r>
      <w:r w:rsidRPr="00496867">
        <w:rPr>
          <w:rFonts w:cs="Calibri"/>
          <w:iCs/>
          <w:color w:val="000000"/>
          <w:lang w:val="el-GR"/>
        </w:rPr>
        <w:t xml:space="preserve"> </w:t>
      </w:r>
      <w:r w:rsidR="005E41E6">
        <w:rPr>
          <w:rFonts w:cs="Calibri"/>
          <w:iCs/>
          <w:color w:val="000000"/>
          <w:lang w:val="el-GR"/>
        </w:rPr>
        <w:t>σ</w:t>
      </w:r>
      <w:r w:rsidRPr="00496867">
        <w:rPr>
          <w:rFonts w:cs="Calibri"/>
          <w:iCs/>
          <w:color w:val="000000"/>
          <w:lang w:val="el-GR"/>
        </w:rPr>
        <w:t xml:space="preserve">την αναβάθμιση των κοινωνικών υπηρεσιών </w:t>
      </w:r>
      <w:r w:rsidR="005E41E6">
        <w:rPr>
          <w:rFonts w:cs="Calibri"/>
          <w:iCs/>
          <w:color w:val="000000"/>
          <w:lang w:val="el-GR"/>
        </w:rPr>
        <w:t>σε</w:t>
      </w:r>
      <w:r w:rsidRPr="00496867">
        <w:rPr>
          <w:rFonts w:cs="Calibri"/>
          <w:iCs/>
          <w:color w:val="000000"/>
          <w:lang w:val="el-GR"/>
        </w:rPr>
        <w:t xml:space="preserve"> υποβαθμισμένες περιοχές. </w:t>
      </w:r>
      <w:r w:rsidRPr="005E41E6">
        <w:rPr>
          <w:rFonts w:cs="Calibri"/>
          <w:iCs/>
          <w:color w:val="000000"/>
          <w:lang w:val="el-GR"/>
        </w:rPr>
        <w:t xml:space="preserve">Μέχρι </w:t>
      </w:r>
      <w:r w:rsidR="005E41E6">
        <w:rPr>
          <w:rFonts w:cs="Calibri"/>
          <w:iCs/>
          <w:color w:val="000000"/>
          <w:lang w:val="el-GR"/>
        </w:rPr>
        <w:t>τις</w:t>
      </w:r>
      <w:r w:rsidRPr="005E41E6">
        <w:rPr>
          <w:rFonts w:cs="Calibri"/>
          <w:iCs/>
          <w:color w:val="000000"/>
          <w:lang w:val="el-GR"/>
        </w:rPr>
        <w:t xml:space="preserve"> 31/12/2016, καμία σχετική δράση δεν είχε προκηρυχθεί και επομένως το αποτύπωμα του Ταμείο στην πρόοδο επίτευξης του εθνικού στόχου είναι μηδενικό.</w:t>
      </w:r>
    </w:p>
    <w:p w14:paraId="6B90E4F8" w14:textId="46DE8377" w:rsidR="00496867" w:rsidRPr="00496867" w:rsidRDefault="00496867" w:rsidP="007F59D1">
      <w:pPr>
        <w:ind w:left="720"/>
        <w:jc w:val="both"/>
        <w:rPr>
          <w:rFonts w:cs="Calibri"/>
          <w:iCs/>
          <w:lang w:val="el-GR"/>
        </w:rPr>
      </w:pPr>
      <w:r w:rsidRPr="00496867">
        <w:rPr>
          <w:rFonts w:cs="Calibri"/>
          <w:iCs/>
          <w:lang w:val="el-GR"/>
        </w:rPr>
        <w:t xml:space="preserve">Το </w:t>
      </w:r>
      <w:r w:rsidRPr="00496867">
        <w:rPr>
          <w:rFonts w:cs="Calibri"/>
          <w:b/>
          <w:iCs/>
          <w:lang w:val="el-GR"/>
        </w:rPr>
        <w:t>ΕΚΤ</w:t>
      </w:r>
      <w:r w:rsidRPr="00496867">
        <w:rPr>
          <w:rFonts w:cs="Calibri"/>
          <w:iCs/>
          <w:lang w:val="el-GR"/>
        </w:rPr>
        <w:t xml:space="preserve"> συμβάλει άμεσα στην επίτευξη του εθνικού στόχου για την αντιμετώπιση της φτώχειας ή/και του κοινωνικού αποκλεισμού μέσω του </w:t>
      </w:r>
      <w:r w:rsidRPr="005E41E6">
        <w:rPr>
          <w:rFonts w:cs="Calibri"/>
          <w:iCs/>
          <w:lang w:val="el-GR"/>
        </w:rPr>
        <w:t>Θ.Σ.9</w:t>
      </w:r>
      <w:r w:rsidRPr="00496867">
        <w:rPr>
          <w:rFonts w:cs="Calibri"/>
          <w:b/>
          <w:iCs/>
          <w:lang w:val="el-GR"/>
        </w:rPr>
        <w:t xml:space="preserve"> </w:t>
      </w:r>
      <w:r w:rsidRPr="00496867">
        <w:rPr>
          <w:rFonts w:cs="Calibri"/>
          <w:iCs/>
          <w:lang w:val="el-GR"/>
        </w:rPr>
        <w:t>και ειδικότερα μέσω ενεργητικών πολιτικών ένταξης</w:t>
      </w:r>
      <w:r w:rsidR="005E41E6">
        <w:rPr>
          <w:rFonts w:cs="Calibri"/>
          <w:iCs/>
          <w:lang w:val="el-GR"/>
        </w:rPr>
        <w:t>,</w:t>
      </w:r>
      <w:r w:rsidRPr="00496867">
        <w:rPr>
          <w:rFonts w:cs="Calibri"/>
          <w:iCs/>
          <w:lang w:val="el-GR"/>
        </w:rPr>
        <w:t xml:space="preserve"> με στόχο τη βελτίωση των ευκαιριών απασχόλησης </w:t>
      </w:r>
      <w:r w:rsidR="005E41E6">
        <w:rPr>
          <w:rFonts w:cs="Calibri"/>
          <w:iCs/>
          <w:lang w:val="el-GR"/>
        </w:rPr>
        <w:t>σε συνέργεια</w:t>
      </w:r>
      <w:r w:rsidRPr="00496867">
        <w:rPr>
          <w:rFonts w:cs="Calibri"/>
          <w:iCs/>
          <w:lang w:val="el-GR"/>
        </w:rPr>
        <w:t xml:space="preserve"> με το νέο σύστημα κοινωνικής ευημερίας. Προς την κατεύθυνση αυτή προκηρύχθηκαν προς το τέλος του 2016 </w:t>
      </w:r>
      <w:r w:rsidRPr="00F050B2">
        <w:rPr>
          <w:rFonts w:cs="Calibri"/>
          <w:iCs/>
          <w:lang w:val="el-GR"/>
        </w:rPr>
        <w:t>3 στοχευμένα Σχέδια Χορηγιών</w:t>
      </w:r>
      <w:r w:rsidRPr="00496867">
        <w:rPr>
          <w:rFonts w:cs="Calibri"/>
          <w:iCs/>
          <w:lang w:val="el-GR"/>
        </w:rPr>
        <w:t xml:space="preserve"> για την πρόσληψη ατόμων με χρόνιες παθήσεις, ατόμων με αναπηρία και ατόμων ηλικίας άνω των 50 ετών αντίστοιχα. Τα Σχέδια συμβάλουν στην επίτευξη του Ειδικού Δείκτη Εκροών Ε911 Μειονεκτούντα άτομα που περιλαμβάνεται στο πλαίσιο επίδοσης του Ε.Π. </w:t>
      </w:r>
      <w:r w:rsidRPr="00496867">
        <w:rPr>
          <w:lang w:val="el-GR"/>
        </w:rPr>
        <w:t>«</w:t>
      </w:r>
      <w:bookmarkStart w:id="15" w:name="_Hlk487779433"/>
      <w:r w:rsidRPr="00496867">
        <w:rPr>
          <w:lang w:val="el-GR"/>
        </w:rPr>
        <w:t>Απασχόληση, Ανθρώπινοι Πόροι και Κοινωνική Συνοχή</w:t>
      </w:r>
      <w:bookmarkEnd w:id="15"/>
      <w:r w:rsidRPr="00496867">
        <w:rPr>
          <w:lang w:val="el-GR"/>
        </w:rPr>
        <w:t xml:space="preserve">». Ωστόσο, με δεδομένο ότι τα σχέδια θα υλοποιηθούν από το 2017, η συμβολή του ΕΚΤ στην υλοποίηση του εθνικού στόχου ήταν μηδενική μέχρι </w:t>
      </w:r>
      <w:r w:rsidR="00F050B2">
        <w:rPr>
          <w:lang w:val="el-GR"/>
        </w:rPr>
        <w:t>τις</w:t>
      </w:r>
      <w:r w:rsidRPr="00496867">
        <w:rPr>
          <w:lang w:val="el-GR"/>
        </w:rPr>
        <w:t xml:space="preserve"> 31/12/2016.</w:t>
      </w:r>
    </w:p>
    <w:p w14:paraId="30ACFE13" w14:textId="61663DC0" w:rsidR="00EE418E" w:rsidRDefault="00496867" w:rsidP="007F59D1">
      <w:pPr>
        <w:autoSpaceDE w:val="0"/>
        <w:autoSpaceDN w:val="0"/>
        <w:adjustRightInd w:val="0"/>
        <w:ind w:left="720"/>
        <w:jc w:val="both"/>
        <w:rPr>
          <w:rFonts w:eastAsia="TimesNewRomanPSMT" w:cs="Calibri"/>
          <w:lang w:val="el-GR"/>
        </w:rPr>
      </w:pPr>
      <w:r w:rsidRPr="00496867">
        <w:rPr>
          <w:rFonts w:cs="Calibri"/>
          <w:iCs/>
          <w:lang w:val="el-GR"/>
        </w:rPr>
        <w:t xml:space="preserve">Τέλος, σε ότι αφορά στο </w:t>
      </w:r>
      <w:r w:rsidRPr="00496867">
        <w:rPr>
          <w:rFonts w:cs="Calibri"/>
          <w:b/>
          <w:iCs/>
          <w:lang w:val="el-GR"/>
        </w:rPr>
        <w:t>ΕΓΤΑΑ</w:t>
      </w:r>
      <w:r w:rsidRPr="00496867">
        <w:rPr>
          <w:rFonts w:cs="Calibri"/>
          <w:iCs/>
          <w:lang w:val="el-GR"/>
        </w:rPr>
        <w:t>, με βάση την πρόοδο υλοποίησης του ΠΑΑ δεν αναγνωρίζεται προς το παρόν άμεση συνεισφορά του</w:t>
      </w:r>
      <w:r w:rsidRPr="0002568F">
        <w:rPr>
          <w:rFonts w:cs="Calibri"/>
          <w:iCs/>
          <w:lang w:val="el-GR"/>
        </w:rPr>
        <w:t>.</w:t>
      </w:r>
      <w:r w:rsidR="0002568F" w:rsidRPr="0002568F">
        <w:rPr>
          <w:rFonts w:cs="Calibri"/>
          <w:iCs/>
          <w:lang w:val="el-GR"/>
        </w:rPr>
        <w:t xml:space="preserve"> Θετικά θα συνεισφέρουν στο μέλλον οι παρεμβάσεις ολοκληρωμένου χαρακτήρα που θα εκτελεστούν στο πλαίσιο των Τοπικών Προγραμμάτων </w:t>
      </w:r>
      <w:r w:rsidR="0002568F" w:rsidRPr="0002568F">
        <w:rPr>
          <w:rFonts w:cs="Calibri"/>
          <w:iCs/>
        </w:rPr>
        <w:t>LEADER</w:t>
      </w:r>
      <w:r w:rsidR="0002568F" w:rsidRPr="0002568F">
        <w:rPr>
          <w:rFonts w:cs="Calibri"/>
          <w:iCs/>
          <w:lang w:val="el-GR"/>
        </w:rPr>
        <w:t xml:space="preserve"> (Μέτρο 19).</w:t>
      </w:r>
    </w:p>
    <w:p w14:paraId="779BDBAB" w14:textId="77777777" w:rsidR="00EE418E" w:rsidRPr="007F59D1" w:rsidRDefault="00EE418E" w:rsidP="002D7E01">
      <w:pPr>
        <w:autoSpaceDE w:val="0"/>
        <w:autoSpaceDN w:val="0"/>
        <w:adjustRightInd w:val="0"/>
        <w:spacing w:after="0" w:line="240" w:lineRule="auto"/>
        <w:jc w:val="both"/>
        <w:rPr>
          <w:rFonts w:cs="Calibri"/>
          <w:iCs/>
          <w:lang w:val="el-GR"/>
        </w:rPr>
      </w:pPr>
    </w:p>
    <w:p w14:paraId="314714E0" w14:textId="66875F6F" w:rsidR="00845790" w:rsidRPr="00F050B2" w:rsidRDefault="00845790" w:rsidP="002D7E01">
      <w:pPr>
        <w:autoSpaceDE w:val="0"/>
        <w:autoSpaceDN w:val="0"/>
        <w:adjustRightInd w:val="0"/>
        <w:spacing w:after="0" w:line="240" w:lineRule="auto"/>
        <w:jc w:val="both"/>
        <w:rPr>
          <w:rFonts w:eastAsia="TimesNewRomanPSMT" w:cs="Calibri"/>
          <w:b/>
          <w:i/>
          <w:lang w:val="el-GR"/>
        </w:rPr>
      </w:pPr>
      <w:r w:rsidRPr="00F050B2">
        <w:rPr>
          <w:rFonts w:eastAsia="TimesNewRomanPSMT" w:cs="Calibri"/>
          <w:b/>
          <w:i/>
          <w:lang w:val="el-GR"/>
        </w:rPr>
        <w:lastRenderedPageBreak/>
        <w:t>β) Περιγραφή και αξιολόγηση, σε σχέση με τα ορόσημα που ορίζονται στο πλαίσιο επιδόσεων και τη στήριξη που χρησιμοποιήθηκε για τους στόχους της κλιματικής αλλαγής, κατά περίπτωση, του τρόπου με τον οποίο τα ΕΔΕΤ έχουν συμβάλει στην επίτευξη των θεματικών στόχων και της προόδου που έχει σημειωθεί στην επίτευξη των αναμενόμενων βασικών αποτελεσμάτων για καθέναν από τους θεματικούς στόχους που ορίζονται στ</w:t>
      </w:r>
      <w:r w:rsidR="001705FC">
        <w:rPr>
          <w:rFonts w:eastAsia="TimesNewRomanPSMT" w:cs="Calibri"/>
          <w:b/>
          <w:i/>
          <w:lang w:val="el-GR"/>
        </w:rPr>
        <w:t>η</w:t>
      </w:r>
      <w:r w:rsidRPr="00F050B2">
        <w:rPr>
          <w:rFonts w:eastAsia="TimesNewRomanPSMT" w:cs="Calibri"/>
          <w:b/>
          <w:i/>
          <w:lang w:val="el-GR"/>
        </w:rPr>
        <w:t xml:space="preserve"> </w:t>
      </w:r>
      <w:r w:rsidR="001705FC">
        <w:rPr>
          <w:rFonts w:eastAsia="TimesNewRomanPSMT" w:cs="Calibri"/>
          <w:b/>
          <w:i/>
          <w:lang w:val="el-GR"/>
        </w:rPr>
        <w:t>Συμφωνία</w:t>
      </w:r>
      <w:r w:rsidRPr="00F050B2">
        <w:rPr>
          <w:rFonts w:eastAsia="TimesNewRomanPSMT" w:cs="Calibri"/>
          <w:b/>
          <w:i/>
          <w:lang w:val="el-GR"/>
        </w:rPr>
        <w:t xml:space="preserve"> </w:t>
      </w:r>
      <w:r w:rsidR="001705FC">
        <w:rPr>
          <w:rFonts w:eastAsia="TimesNewRomanPSMT" w:cs="Calibri"/>
          <w:b/>
          <w:i/>
          <w:lang w:val="el-GR"/>
        </w:rPr>
        <w:t>Ε</w:t>
      </w:r>
      <w:r w:rsidRPr="00F050B2">
        <w:rPr>
          <w:rFonts w:eastAsia="TimesNewRomanPSMT" w:cs="Calibri"/>
          <w:b/>
          <w:i/>
          <w:lang w:val="el-GR"/>
        </w:rPr>
        <w:t xml:space="preserve">ταιρικής </w:t>
      </w:r>
      <w:r w:rsidR="001705FC">
        <w:rPr>
          <w:rFonts w:eastAsia="TimesNewRomanPSMT" w:cs="Calibri"/>
          <w:b/>
          <w:i/>
          <w:lang w:val="el-GR"/>
        </w:rPr>
        <w:t>Σ</w:t>
      </w:r>
      <w:r w:rsidRPr="00F050B2">
        <w:rPr>
          <w:rFonts w:eastAsia="TimesNewRomanPSMT" w:cs="Calibri"/>
          <w:b/>
          <w:i/>
          <w:lang w:val="el-GR"/>
        </w:rPr>
        <w:t>χέσης, συμπεριλαμβανομένων, κατά περίπτωση, περιγραφής της συμβολής των ΕΔΕΤ στην επίτευξη της οικονομικής, κοινωνικής και εδαφικής συνοχής, όσον αφορά τα καθορισθέντα ορόσημα στο πλαίσιο επιδόσεων για κάθε πρόγραμμα.</w:t>
      </w:r>
    </w:p>
    <w:p w14:paraId="0EF8A2A1" w14:textId="77777777" w:rsidR="00845790" w:rsidRDefault="00845790" w:rsidP="002D7E01">
      <w:pPr>
        <w:autoSpaceDE w:val="0"/>
        <w:autoSpaceDN w:val="0"/>
        <w:adjustRightInd w:val="0"/>
        <w:spacing w:after="0" w:line="240" w:lineRule="auto"/>
        <w:jc w:val="both"/>
        <w:rPr>
          <w:rFonts w:eastAsia="TimesNewRomanPSMT" w:cs="Calibri"/>
          <w:lang w:val="el-GR"/>
        </w:rPr>
      </w:pPr>
    </w:p>
    <w:p w14:paraId="7383B860" w14:textId="77777777" w:rsidR="004C6523" w:rsidRPr="00EE418E" w:rsidRDefault="004C6523" w:rsidP="004C6523">
      <w:pPr>
        <w:jc w:val="both"/>
        <w:rPr>
          <w:rFonts w:cs="Calibri"/>
          <w:lang w:val="el-GR"/>
        </w:rPr>
      </w:pPr>
      <w:r w:rsidRPr="004C6523">
        <w:rPr>
          <w:rFonts w:cs="Calibri"/>
          <w:iCs/>
          <w:color w:val="000000"/>
          <w:lang w:val="el-GR"/>
        </w:rPr>
        <w:t xml:space="preserve">Όπως καταγράφεται στο Κεφάλαιο 1 της παρούσας Έκθεσης, </w:t>
      </w:r>
      <w:r>
        <w:rPr>
          <w:rFonts w:cs="Calibri"/>
          <w:iCs/>
          <w:color w:val="000000"/>
          <w:lang w:val="el-GR"/>
        </w:rPr>
        <w:t>η</w:t>
      </w:r>
      <w:r>
        <w:rPr>
          <w:rFonts w:cs="Calibri"/>
          <w:lang w:val="el-GR"/>
        </w:rPr>
        <w:t xml:space="preserve"> επίτευξη του στρατηγικού στόχου της ΣΕΣ μέσω της αξιοποίησης των πόρων που κατανεμήθηκαν στην Κύπρο από τα ΕΔΕΤ 2014-2020, εφαρμόζεται με βάση τρεις προτεραιότητες χρηματοδότησης, </w:t>
      </w:r>
      <w:r w:rsidRPr="00A40C67">
        <w:rPr>
          <w:rFonts w:cs="Calibri"/>
          <w:lang w:val="el-GR"/>
        </w:rPr>
        <w:t xml:space="preserve">υπό των οποίων υλοποιούνται στοχευμένες παρεμβάσεις και στους 11 Θεματικούς Στόχους </w:t>
      </w:r>
      <w:r w:rsidR="00250B14">
        <w:rPr>
          <w:rFonts w:cs="Calibri"/>
          <w:lang w:val="el-GR"/>
        </w:rPr>
        <w:t xml:space="preserve">(Θ.Σ.) </w:t>
      </w:r>
      <w:r w:rsidRPr="00A40C67">
        <w:rPr>
          <w:rFonts w:cs="Calibri"/>
          <w:lang w:val="el-GR"/>
        </w:rPr>
        <w:t>του Κανονισμού Κοινών Διατάξεων.</w:t>
      </w:r>
      <w:r>
        <w:rPr>
          <w:rFonts w:cs="Calibri"/>
          <w:lang w:val="el-GR"/>
        </w:rPr>
        <w:t xml:space="preserve"> Η συμβολή της κάθε προτεραιότητας χρηματοδότησης στην επίτευξη του στρατηγικού στόχου </w:t>
      </w:r>
      <w:r w:rsidR="00250B14">
        <w:rPr>
          <w:rFonts w:cs="Calibri"/>
          <w:lang w:val="el-GR"/>
        </w:rPr>
        <w:t>εξαρτάται τόσο από την κατανομή των πόρων των ΕΔΕΤ ανά Θ.Σ. όσο και από την αποτελεσματικότητα τ</w:t>
      </w:r>
      <w:r w:rsidR="003011C5">
        <w:rPr>
          <w:rFonts w:cs="Calibri"/>
          <w:lang w:val="el-GR"/>
        </w:rPr>
        <w:t>ων παρεμβάσεων</w:t>
      </w:r>
      <w:r w:rsidR="00250B14">
        <w:rPr>
          <w:rFonts w:cs="Calibri"/>
          <w:lang w:val="el-GR"/>
        </w:rPr>
        <w:t>.</w:t>
      </w:r>
      <w:r>
        <w:rPr>
          <w:rFonts w:cs="Calibri"/>
          <w:lang w:val="el-GR"/>
        </w:rPr>
        <w:t xml:space="preserve"> </w:t>
      </w:r>
    </w:p>
    <w:p w14:paraId="1F453C6E" w14:textId="2977BEA4" w:rsidR="00496867" w:rsidRPr="003B3E70" w:rsidRDefault="00496867" w:rsidP="00496867">
      <w:pPr>
        <w:jc w:val="both"/>
        <w:rPr>
          <w:rFonts w:cs="Calibri"/>
          <w:iCs/>
          <w:color w:val="000000"/>
          <w:lang w:val="el-GR"/>
        </w:rPr>
      </w:pPr>
      <w:r w:rsidRPr="004C6523">
        <w:rPr>
          <w:rFonts w:cs="Calibri"/>
          <w:iCs/>
          <w:color w:val="000000"/>
          <w:lang w:val="el-GR"/>
        </w:rPr>
        <w:t>Σύμφωνα με</w:t>
      </w:r>
      <w:r w:rsidRPr="003B3E70">
        <w:rPr>
          <w:rFonts w:cs="Calibri"/>
          <w:iCs/>
          <w:color w:val="000000"/>
          <w:lang w:val="el-GR"/>
        </w:rPr>
        <w:t xml:space="preserve"> την κατανομή των ΕΔΕΤ </w:t>
      </w:r>
      <w:r w:rsidR="00250B14">
        <w:rPr>
          <w:rFonts w:cs="Calibri"/>
          <w:iCs/>
          <w:color w:val="000000"/>
          <w:lang w:val="el-GR"/>
        </w:rPr>
        <w:t>ανά Θ.Σ.</w:t>
      </w:r>
      <w:r w:rsidRPr="003B3E70">
        <w:rPr>
          <w:rFonts w:cs="Calibri"/>
          <w:iCs/>
          <w:color w:val="000000"/>
          <w:lang w:val="el-GR"/>
        </w:rPr>
        <w:t xml:space="preserve"> </w:t>
      </w:r>
      <w:r w:rsidR="00250B14">
        <w:rPr>
          <w:rFonts w:cs="Calibri"/>
          <w:iCs/>
          <w:color w:val="000000"/>
          <w:lang w:val="el-GR"/>
        </w:rPr>
        <w:t>στις</w:t>
      </w:r>
      <w:r w:rsidRPr="003B3E70">
        <w:rPr>
          <w:rFonts w:cs="Calibri"/>
          <w:iCs/>
          <w:color w:val="000000"/>
          <w:lang w:val="el-GR"/>
        </w:rPr>
        <w:t xml:space="preserve"> 31/12/2016, η Πρώτη Προτεραιότητα Χρηματοδότησης εξυπηρετείται περίπου από το 41% των πόρων των ΕΔΕΤ και εστιάζει στην </w:t>
      </w:r>
      <w:r w:rsidR="00352BEB">
        <w:rPr>
          <w:rFonts w:cs="Calibri"/>
          <w:iCs/>
          <w:color w:val="000000"/>
          <w:lang w:val="el-GR"/>
        </w:rPr>
        <w:t>ενίσχυση</w:t>
      </w:r>
      <w:r w:rsidRPr="003B3E70">
        <w:rPr>
          <w:rFonts w:cs="Calibri"/>
          <w:iCs/>
          <w:color w:val="000000"/>
          <w:lang w:val="el-GR"/>
        </w:rPr>
        <w:t xml:space="preserve"> της ανταγωνιστικότητας της οικονομίας (</w:t>
      </w:r>
      <w:r w:rsidR="00352BEB">
        <w:rPr>
          <w:rFonts w:cs="Calibri"/>
          <w:iCs/>
          <w:color w:val="000000"/>
          <w:lang w:val="el-GR"/>
        </w:rPr>
        <w:t>Θ.Σ.</w:t>
      </w:r>
      <w:r w:rsidRPr="003B3E70">
        <w:rPr>
          <w:rFonts w:cs="Calibri"/>
          <w:iCs/>
          <w:color w:val="000000"/>
          <w:lang w:val="el-GR"/>
        </w:rPr>
        <w:t xml:space="preserve"> 1, 2 και 3), στον τομέα των βιώσιμων μεταφορών και την κάλυψη των αναγκών της χώρας όσον αφορά τη συμπλήρωση των Διευρωπαϊκών Δικτύων και την ολοκλήρωση των αναγκαίων λιμενικών υποδομών (</w:t>
      </w:r>
      <w:r w:rsidR="00352BEB">
        <w:rPr>
          <w:rFonts w:cs="Calibri"/>
          <w:iCs/>
          <w:color w:val="000000"/>
          <w:lang w:val="el-GR"/>
        </w:rPr>
        <w:t>Θ.Σ.</w:t>
      </w:r>
      <w:r w:rsidRPr="003B3E70">
        <w:rPr>
          <w:rFonts w:cs="Calibri"/>
          <w:iCs/>
          <w:color w:val="000000"/>
          <w:lang w:val="el-GR"/>
        </w:rPr>
        <w:t xml:space="preserve"> 7) και στην ενίσχυση της θεσμικής ικανότητας και της αποτελεσματικότητας της Δημόσιας Διοίκησης (</w:t>
      </w:r>
      <w:r w:rsidR="00352BEB">
        <w:rPr>
          <w:rFonts w:cs="Calibri"/>
          <w:iCs/>
          <w:color w:val="000000"/>
          <w:lang w:val="el-GR"/>
        </w:rPr>
        <w:t>Θ.Σ.</w:t>
      </w:r>
      <w:r w:rsidRPr="003B3E70">
        <w:rPr>
          <w:rFonts w:cs="Calibri"/>
          <w:iCs/>
          <w:color w:val="000000"/>
          <w:lang w:val="el-GR"/>
        </w:rPr>
        <w:t xml:space="preserve"> 11).</w:t>
      </w:r>
    </w:p>
    <w:p w14:paraId="3E2BFDAF" w14:textId="71D969AC" w:rsidR="00496867" w:rsidRPr="003B3E70" w:rsidRDefault="00496867" w:rsidP="00496867">
      <w:pPr>
        <w:jc w:val="both"/>
        <w:rPr>
          <w:rFonts w:cs="Calibri"/>
          <w:iCs/>
          <w:color w:val="000000"/>
          <w:lang w:val="el-GR"/>
        </w:rPr>
      </w:pPr>
      <w:r w:rsidRPr="003B3E70">
        <w:rPr>
          <w:rFonts w:cs="Calibri"/>
          <w:iCs/>
          <w:color w:val="000000"/>
          <w:lang w:val="el-GR"/>
        </w:rPr>
        <w:t>Η Δεύτερη Προτεραιότητα Χρηματοδότησης εστιάζει στο Ανθρώπινο Δυναμικό, την απασχόληση και την αγορά εργασίας, και εξυπηρετείται περίπου από το 2</w:t>
      </w:r>
      <w:r w:rsidR="009C2470">
        <w:rPr>
          <w:rFonts w:cs="Calibri"/>
          <w:iCs/>
          <w:color w:val="000000"/>
          <w:lang w:val="el-GR"/>
        </w:rPr>
        <w:t>1</w:t>
      </w:r>
      <w:r w:rsidRPr="003B3E70">
        <w:rPr>
          <w:rFonts w:cs="Calibri"/>
          <w:iCs/>
          <w:color w:val="000000"/>
          <w:lang w:val="el-GR"/>
        </w:rPr>
        <w:t xml:space="preserve">% των πόρων των ΕΔΕΤ μέσω τριών Θεματικών Στόχων (Θ.Σ. 8, 9 και 10). </w:t>
      </w:r>
    </w:p>
    <w:p w14:paraId="38B0057B" w14:textId="4E4028F7" w:rsidR="00496867" w:rsidRPr="003B3E70" w:rsidRDefault="00496867" w:rsidP="00496867">
      <w:pPr>
        <w:jc w:val="both"/>
        <w:rPr>
          <w:rFonts w:cs="Calibri"/>
          <w:iCs/>
          <w:color w:val="000000"/>
          <w:lang w:val="el-GR"/>
        </w:rPr>
      </w:pPr>
      <w:r w:rsidRPr="003B3E70">
        <w:rPr>
          <w:rFonts w:cs="Calibri"/>
          <w:iCs/>
          <w:color w:val="000000"/>
          <w:lang w:val="el-GR"/>
        </w:rPr>
        <w:t xml:space="preserve">Τέλος, στην Τρίτη Προτεραιότητα Χρηματοδότησης, έχει αποδοθεί περίπου το 35% των πόρων της ΣΕΣ σε τρεις Θεματικούς Στόχους (Θ.Σ. 4, 5 </w:t>
      </w:r>
      <w:r w:rsidR="00352BEB">
        <w:rPr>
          <w:rFonts w:cs="Calibri"/>
          <w:iCs/>
          <w:color w:val="000000"/>
          <w:lang w:val="el-GR"/>
        </w:rPr>
        <w:t>και</w:t>
      </w:r>
      <w:r w:rsidRPr="003B3E70">
        <w:rPr>
          <w:rFonts w:cs="Calibri"/>
          <w:iCs/>
          <w:color w:val="000000"/>
          <w:lang w:val="el-GR"/>
        </w:rPr>
        <w:t xml:space="preserve"> 6)</w:t>
      </w:r>
      <w:r w:rsidR="00352BEB">
        <w:rPr>
          <w:rFonts w:cs="Calibri"/>
          <w:iCs/>
          <w:color w:val="000000"/>
          <w:lang w:val="el-GR"/>
        </w:rPr>
        <w:t>,</w:t>
      </w:r>
      <w:r w:rsidRPr="003B3E70">
        <w:rPr>
          <w:rFonts w:cs="Calibri"/>
          <w:iCs/>
          <w:color w:val="000000"/>
          <w:lang w:val="el-GR"/>
        </w:rPr>
        <w:t xml:space="preserve"> προκειμένου να αντιμετωπιστούν οι ανάγκες της Κύπρου  </w:t>
      </w:r>
      <w:r w:rsidR="00352BEB">
        <w:rPr>
          <w:rFonts w:cs="Calibri"/>
          <w:iCs/>
          <w:color w:val="000000"/>
          <w:lang w:val="el-GR"/>
        </w:rPr>
        <w:t>για προστασία και διατήρηση του περιβάλλοντος και ορθολογική διαχείριση των πόρων</w:t>
      </w:r>
      <w:r w:rsidRPr="003B3E70">
        <w:rPr>
          <w:rFonts w:cs="Calibri"/>
          <w:iCs/>
          <w:color w:val="000000"/>
          <w:lang w:val="el-GR"/>
        </w:rPr>
        <w:t xml:space="preserve">, </w:t>
      </w:r>
      <w:r w:rsidR="00352BEB">
        <w:rPr>
          <w:rFonts w:cs="Calibri"/>
          <w:iCs/>
          <w:color w:val="000000"/>
          <w:lang w:val="el-GR"/>
        </w:rPr>
        <w:t>για</w:t>
      </w:r>
      <w:r w:rsidRPr="003B3E70">
        <w:rPr>
          <w:rFonts w:cs="Calibri"/>
          <w:iCs/>
          <w:color w:val="000000"/>
          <w:lang w:val="el-GR"/>
        </w:rPr>
        <w:t xml:space="preserve"> μείωση των εκπομπών αερίων του θερμοκηπίου και </w:t>
      </w:r>
      <w:r w:rsidR="00352BEB">
        <w:rPr>
          <w:rFonts w:cs="Calibri"/>
          <w:iCs/>
          <w:color w:val="000000"/>
          <w:lang w:val="el-GR"/>
        </w:rPr>
        <w:t>για</w:t>
      </w:r>
      <w:r w:rsidRPr="003B3E70">
        <w:rPr>
          <w:rFonts w:cs="Calibri"/>
          <w:iCs/>
          <w:color w:val="000000"/>
          <w:lang w:val="el-GR"/>
        </w:rPr>
        <w:t xml:space="preserve"> προσαρμογή στην κλιματική αλλαγή.</w:t>
      </w:r>
    </w:p>
    <w:p w14:paraId="53CF1088" w14:textId="0C877A97" w:rsidR="00496867" w:rsidRPr="003B3E70" w:rsidRDefault="00496867" w:rsidP="00496867">
      <w:pPr>
        <w:jc w:val="both"/>
        <w:rPr>
          <w:rFonts w:cs="Calibri"/>
          <w:iCs/>
          <w:color w:val="000000"/>
          <w:lang w:val="el-GR"/>
        </w:rPr>
      </w:pPr>
      <w:r w:rsidRPr="003B3E70">
        <w:rPr>
          <w:rFonts w:cs="Calibri"/>
          <w:iCs/>
          <w:color w:val="000000"/>
          <w:lang w:val="el-GR"/>
        </w:rPr>
        <w:t xml:space="preserve">Η αναλυτική κατανομή της </w:t>
      </w:r>
      <w:r w:rsidR="00352BEB">
        <w:rPr>
          <w:rFonts w:cs="Calibri"/>
          <w:iCs/>
          <w:color w:val="000000"/>
          <w:lang w:val="el-GR"/>
        </w:rPr>
        <w:t>κοινοτικής συνεισφοράς</w:t>
      </w:r>
      <w:r w:rsidRPr="003B3E70">
        <w:rPr>
          <w:rFonts w:cs="Calibri"/>
          <w:iCs/>
          <w:color w:val="000000"/>
          <w:lang w:val="el-GR"/>
        </w:rPr>
        <w:t xml:space="preserve"> των ΕΔΕΤ ανά Ταμείο Χρηματοδότησης, Θεματικό Στόχο και Προτεραιότητα Χρηματοδότησης</w:t>
      </w:r>
      <w:r w:rsidR="00352BEB">
        <w:rPr>
          <w:rFonts w:cs="Calibri"/>
          <w:iCs/>
          <w:color w:val="000000"/>
          <w:lang w:val="el-GR"/>
        </w:rPr>
        <w:t xml:space="preserve"> στις 31/12/16</w:t>
      </w:r>
      <w:r w:rsidRPr="003B3E70">
        <w:rPr>
          <w:rFonts w:cs="Calibri"/>
          <w:iCs/>
          <w:color w:val="000000"/>
          <w:lang w:val="el-GR"/>
        </w:rPr>
        <w:t>, συνοψίζεται στον Πίνακα που ακολουθεί:</w:t>
      </w:r>
    </w:p>
    <w:p w14:paraId="49BA0ADF" w14:textId="77777777" w:rsidR="00496867" w:rsidRPr="00496867" w:rsidRDefault="00496867" w:rsidP="00496867">
      <w:pPr>
        <w:jc w:val="both"/>
        <w:rPr>
          <w:rFonts w:cs="Calibri"/>
          <w:iCs/>
          <w:color w:val="000000"/>
          <w:lang w:val="el-GR"/>
        </w:rPr>
      </w:pPr>
    </w:p>
    <w:p w14:paraId="013FE236" w14:textId="77777777" w:rsidR="00496867" w:rsidRPr="00496867" w:rsidRDefault="00496867" w:rsidP="00496867">
      <w:pPr>
        <w:jc w:val="both"/>
        <w:rPr>
          <w:rFonts w:cs="Calibri"/>
          <w:iCs/>
          <w:color w:val="000000"/>
          <w:lang w:val="el-GR"/>
        </w:rPr>
        <w:sectPr w:rsidR="00496867" w:rsidRPr="00496867" w:rsidSect="00392E71">
          <w:footerReference w:type="default" r:id="rId14"/>
          <w:pgSz w:w="12240" w:h="15840" w:code="1"/>
          <w:pgMar w:top="1134" w:right="1418" w:bottom="1134" w:left="1418" w:header="454" w:footer="454" w:gutter="0"/>
          <w:cols w:space="708"/>
          <w:docGrid w:linePitch="360"/>
        </w:sectPr>
      </w:pPr>
    </w:p>
    <w:p w14:paraId="0AD5D2E4" w14:textId="15DAE7EF" w:rsidR="00496867" w:rsidRPr="00496867" w:rsidRDefault="00496867" w:rsidP="00496867">
      <w:pPr>
        <w:jc w:val="both"/>
        <w:rPr>
          <w:rFonts w:cs="Calibri"/>
          <w:b/>
          <w:iCs/>
          <w:color w:val="000000"/>
          <w:lang w:val="el-GR"/>
        </w:rPr>
      </w:pPr>
    </w:p>
    <w:tbl>
      <w:tblPr>
        <w:tblW w:w="14635"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072"/>
        <w:gridCol w:w="4176"/>
        <w:gridCol w:w="1299"/>
        <w:gridCol w:w="1276"/>
        <w:gridCol w:w="1276"/>
        <w:gridCol w:w="1276"/>
        <w:gridCol w:w="1134"/>
        <w:gridCol w:w="1275"/>
        <w:gridCol w:w="851"/>
      </w:tblGrid>
      <w:tr w:rsidR="00496867" w:rsidRPr="00352BEB" w14:paraId="09603D65" w14:textId="77777777" w:rsidTr="009C2470">
        <w:trPr>
          <w:trHeight w:val="466"/>
          <w:tblHeader/>
          <w:jc w:val="center"/>
        </w:trPr>
        <w:tc>
          <w:tcPr>
            <w:tcW w:w="2072" w:type="dxa"/>
            <w:tcBorders>
              <w:top w:val="single" w:sz="8" w:space="0" w:color="FFFFFF"/>
              <w:left w:val="single" w:sz="8" w:space="0" w:color="FFFFFF"/>
              <w:bottom w:val="single" w:sz="24" w:space="0" w:color="FFFFFF"/>
              <w:right w:val="single" w:sz="8" w:space="0" w:color="FFFFFF"/>
            </w:tcBorders>
            <w:shd w:val="clear" w:color="auto" w:fill="F79646"/>
            <w:vAlign w:val="center"/>
          </w:tcPr>
          <w:p w14:paraId="48081AD1" w14:textId="0A00803D" w:rsidR="00496867" w:rsidRPr="00352BEB" w:rsidRDefault="00496867" w:rsidP="00AD484A">
            <w:pPr>
              <w:autoSpaceDE w:val="0"/>
              <w:autoSpaceDN w:val="0"/>
              <w:adjustRightInd w:val="0"/>
              <w:spacing w:after="0" w:line="240" w:lineRule="auto"/>
              <w:contextualSpacing/>
              <w:jc w:val="center"/>
              <w:rPr>
                <w:rFonts w:cs="Calibri"/>
                <w:b/>
                <w:bCs/>
                <w:iCs/>
                <w:color w:val="000000"/>
                <w:lang w:val="el-GR"/>
              </w:rPr>
            </w:pPr>
            <w:r w:rsidRPr="00352BEB">
              <w:rPr>
                <w:rFonts w:cs="Calibri"/>
                <w:b/>
                <w:bCs/>
                <w:iCs/>
                <w:color w:val="000000"/>
                <w:lang w:val="el-GR"/>
              </w:rPr>
              <w:t>Προτεραιότητα Χρημ</w:t>
            </w:r>
            <w:r w:rsidR="00352BEB" w:rsidRPr="00352BEB">
              <w:rPr>
                <w:rFonts w:cs="Calibri"/>
                <w:b/>
                <w:bCs/>
                <w:iCs/>
                <w:color w:val="000000"/>
                <w:lang w:val="el-GR"/>
              </w:rPr>
              <w:t>ατοδότη</w:t>
            </w:r>
            <w:r w:rsidRPr="00352BEB">
              <w:rPr>
                <w:rFonts w:cs="Calibri"/>
                <w:b/>
                <w:bCs/>
                <w:iCs/>
                <w:color w:val="000000"/>
                <w:lang w:val="el-GR"/>
              </w:rPr>
              <w:t>σης</w:t>
            </w:r>
          </w:p>
        </w:tc>
        <w:tc>
          <w:tcPr>
            <w:tcW w:w="4176" w:type="dxa"/>
            <w:tcBorders>
              <w:top w:val="single" w:sz="8" w:space="0" w:color="FFFFFF"/>
              <w:left w:val="single" w:sz="8" w:space="0" w:color="FFFFFF"/>
              <w:bottom w:val="single" w:sz="24" w:space="0" w:color="FFFFFF"/>
              <w:right w:val="single" w:sz="8" w:space="0" w:color="FFFFFF"/>
            </w:tcBorders>
            <w:shd w:val="clear" w:color="auto" w:fill="F79646"/>
            <w:vAlign w:val="center"/>
          </w:tcPr>
          <w:p w14:paraId="79F9ACC9"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lang w:val="el-GR"/>
              </w:rPr>
            </w:pPr>
            <w:r w:rsidRPr="00352BEB">
              <w:rPr>
                <w:rFonts w:cs="Calibri"/>
                <w:b/>
                <w:bCs/>
                <w:iCs/>
                <w:color w:val="000000"/>
                <w:lang w:val="el-GR"/>
              </w:rPr>
              <w:t>Θεματικός Στόχος</w:t>
            </w:r>
          </w:p>
        </w:tc>
        <w:tc>
          <w:tcPr>
            <w:tcW w:w="1299" w:type="dxa"/>
            <w:tcBorders>
              <w:top w:val="single" w:sz="8" w:space="0" w:color="FFFFFF"/>
              <w:left w:val="single" w:sz="8" w:space="0" w:color="FFFFFF"/>
              <w:bottom w:val="single" w:sz="24" w:space="0" w:color="FFFFFF"/>
              <w:right w:val="single" w:sz="8" w:space="0" w:color="FFFFFF"/>
            </w:tcBorders>
            <w:shd w:val="clear" w:color="auto" w:fill="F79646"/>
            <w:vAlign w:val="center"/>
          </w:tcPr>
          <w:p w14:paraId="7A668FE8"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rPr>
            </w:pPr>
            <w:r w:rsidRPr="00352BEB">
              <w:rPr>
                <w:rFonts w:cs="Calibri"/>
                <w:b/>
                <w:bCs/>
                <w:iCs/>
                <w:color w:val="000000"/>
                <w:lang w:val="el-GR"/>
              </w:rPr>
              <w:t>ΕΤΠΑ</w:t>
            </w:r>
          </w:p>
          <w:p w14:paraId="4BAB9EE8"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rPr>
            </w:pPr>
            <w:r w:rsidRPr="00352BEB">
              <w:rPr>
                <w:rFonts w:cs="Calibri"/>
                <w:b/>
                <w:bCs/>
                <w:iCs/>
                <w:color w:val="000000"/>
                <w:lang w:val="el-GR"/>
              </w:rPr>
              <w:t>(</w:t>
            </w:r>
            <w:r w:rsidRPr="00352BEB">
              <w:rPr>
                <w:rFonts w:cs="Calibri"/>
                <w:b/>
                <w:bCs/>
                <w:iCs/>
                <w:color w:val="000000"/>
              </w:rPr>
              <w:t>EUR)</w:t>
            </w:r>
          </w:p>
        </w:tc>
        <w:tc>
          <w:tcPr>
            <w:tcW w:w="1276" w:type="dxa"/>
            <w:tcBorders>
              <w:top w:val="single" w:sz="8" w:space="0" w:color="FFFFFF"/>
              <w:left w:val="single" w:sz="8" w:space="0" w:color="FFFFFF"/>
              <w:bottom w:val="single" w:sz="24" w:space="0" w:color="FFFFFF"/>
              <w:right w:val="single" w:sz="8" w:space="0" w:color="FFFFFF"/>
            </w:tcBorders>
            <w:shd w:val="clear" w:color="auto" w:fill="F79646"/>
            <w:vAlign w:val="center"/>
          </w:tcPr>
          <w:p w14:paraId="11FC0C37"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rPr>
            </w:pPr>
            <w:r w:rsidRPr="00352BEB">
              <w:rPr>
                <w:rFonts w:cs="Calibri"/>
                <w:b/>
                <w:bCs/>
                <w:iCs/>
                <w:color w:val="000000"/>
                <w:lang w:val="el-GR"/>
              </w:rPr>
              <w:t>ΕΚΤ/ΠΑΝ</w:t>
            </w:r>
          </w:p>
          <w:p w14:paraId="0D6D5CF8"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rPr>
            </w:pPr>
            <w:r w:rsidRPr="00352BEB">
              <w:rPr>
                <w:rFonts w:cs="Calibri"/>
                <w:b/>
                <w:bCs/>
                <w:iCs/>
                <w:color w:val="000000"/>
                <w:lang w:val="el-GR"/>
              </w:rPr>
              <w:t>(</w:t>
            </w:r>
            <w:r w:rsidRPr="00352BEB">
              <w:rPr>
                <w:rFonts w:cs="Calibri"/>
                <w:b/>
                <w:bCs/>
                <w:iCs/>
                <w:color w:val="000000"/>
              </w:rPr>
              <w:t>EUR)</w:t>
            </w:r>
          </w:p>
        </w:tc>
        <w:tc>
          <w:tcPr>
            <w:tcW w:w="1276" w:type="dxa"/>
            <w:tcBorders>
              <w:top w:val="single" w:sz="8" w:space="0" w:color="FFFFFF"/>
              <w:left w:val="single" w:sz="8" w:space="0" w:color="FFFFFF"/>
              <w:bottom w:val="single" w:sz="24" w:space="0" w:color="FFFFFF"/>
              <w:right w:val="single" w:sz="8" w:space="0" w:color="FFFFFF"/>
            </w:tcBorders>
            <w:shd w:val="clear" w:color="auto" w:fill="F79646"/>
            <w:vAlign w:val="center"/>
          </w:tcPr>
          <w:p w14:paraId="37945868"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rPr>
            </w:pPr>
            <w:r w:rsidRPr="00352BEB">
              <w:rPr>
                <w:rFonts w:cs="Calibri"/>
                <w:b/>
                <w:bCs/>
                <w:iCs/>
                <w:color w:val="000000"/>
              </w:rPr>
              <w:t>Τ.Σ.</w:t>
            </w:r>
          </w:p>
          <w:p w14:paraId="51105E1B"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rPr>
            </w:pPr>
            <w:r w:rsidRPr="00352BEB">
              <w:rPr>
                <w:rFonts w:cs="Calibri"/>
                <w:b/>
                <w:bCs/>
                <w:iCs/>
                <w:color w:val="000000"/>
              </w:rPr>
              <w:t>(EUR)</w:t>
            </w:r>
          </w:p>
        </w:tc>
        <w:tc>
          <w:tcPr>
            <w:tcW w:w="1276" w:type="dxa"/>
            <w:tcBorders>
              <w:top w:val="single" w:sz="8" w:space="0" w:color="FFFFFF"/>
              <w:left w:val="single" w:sz="8" w:space="0" w:color="FFFFFF"/>
              <w:bottom w:val="single" w:sz="24" w:space="0" w:color="FFFFFF"/>
              <w:right w:val="single" w:sz="8" w:space="0" w:color="FFFFFF"/>
            </w:tcBorders>
            <w:shd w:val="clear" w:color="auto" w:fill="F79646"/>
            <w:vAlign w:val="center"/>
          </w:tcPr>
          <w:p w14:paraId="7BF700DB"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rPr>
            </w:pPr>
            <w:r w:rsidRPr="00352BEB">
              <w:rPr>
                <w:rFonts w:cs="Calibri"/>
                <w:b/>
                <w:bCs/>
                <w:iCs/>
                <w:color w:val="000000"/>
                <w:lang w:val="el-GR"/>
              </w:rPr>
              <w:t>ΕΓΤΑΑ</w:t>
            </w:r>
          </w:p>
          <w:p w14:paraId="4DE8C399"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rPr>
            </w:pPr>
            <w:r w:rsidRPr="00352BEB">
              <w:rPr>
                <w:rFonts w:cs="Calibri"/>
                <w:b/>
                <w:bCs/>
                <w:iCs/>
                <w:color w:val="000000"/>
                <w:lang w:val="el-GR"/>
              </w:rPr>
              <w:t>(</w:t>
            </w:r>
            <w:r w:rsidRPr="00352BEB">
              <w:rPr>
                <w:rFonts w:cs="Calibri"/>
                <w:b/>
                <w:bCs/>
                <w:iCs/>
                <w:color w:val="000000"/>
              </w:rPr>
              <w:t>EUR)</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vAlign w:val="center"/>
          </w:tcPr>
          <w:p w14:paraId="75A4B01A"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rPr>
            </w:pPr>
            <w:r w:rsidRPr="00352BEB">
              <w:rPr>
                <w:rFonts w:cs="Calibri"/>
                <w:b/>
                <w:bCs/>
                <w:iCs/>
                <w:color w:val="000000"/>
                <w:lang w:val="el-GR"/>
              </w:rPr>
              <w:t>ΕΤΘΑ</w:t>
            </w:r>
          </w:p>
          <w:p w14:paraId="4A04C863"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rPr>
            </w:pPr>
            <w:r w:rsidRPr="00352BEB">
              <w:rPr>
                <w:rFonts w:cs="Calibri"/>
                <w:b/>
                <w:bCs/>
                <w:iCs/>
                <w:color w:val="000000"/>
                <w:lang w:val="el-GR"/>
              </w:rPr>
              <w:t>(</w:t>
            </w:r>
            <w:r w:rsidRPr="00352BEB">
              <w:rPr>
                <w:rFonts w:cs="Calibri"/>
                <w:b/>
                <w:bCs/>
                <w:iCs/>
                <w:color w:val="000000"/>
              </w:rPr>
              <w:t>EUR)</w:t>
            </w:r>
          </w:p>
        </w:tc>
        <w:tc>
          <w:tcPr>
            <w:tcW w:w="1275" w:type="dxa"/>
            <w:tcBorders>
              <w:top w:val="single" w:sz="4" w:space="0" w:color="FABF8F"/>
              <w:left w:val="single" w:sz="8" w:space="0" w:color="FFFFFF"/>
              <w:bottom w:val="single" w:sz="4" w:space="0" w:color="FABF8F"/>
              <w:right w:val="single" w:sz="4" w:space="0" w:color="FABF8F"/>
            </w:tcBorders>
            <w:shd w:val="clear" w:color="auto" w:fill="F79646"/>
            <w:vAlign w:val="center"/>
          </w:tcPr>
          <w:p w14:paraId="34884A05"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lang w:val="el-GR"/>
              </w:rPr>
            </w:pPr>
            <w:r w:rsidRPr="00352BEB">
              <w:rPr>
                <w:rFonts w:cs="Calibri"/>
                <w:b/>
                <w:bCs/>
                <w:iCs/>
                <w:color w:val="000000"/>
                <w:lang w:val="el-GR"/>
              </w:rPr>
              <w:t>Σύνολο</w:t>
            </w:r>
          </w:p>
          <w:p w14:paraId="6B8C634D"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rPr>
            </w:pPr>
            <w:r w:rsidRPr="00352BEB">
              <w:rPr>
                <w:rFonts w:cs="Calibri"/>
                <w:b/>
                <w:bCs/>
                <w:iCs/>
                <w:color w:val="000000"/>
                <w:lang w:val="el-GR"/>
              </w:rPr>
              <w:t>(</w:t>
            </w:r>
            <w:r w:rsidRPr="00352BEB">
              <w:rPr>
                <w:rFonts w:cs="Calibri"/>
                <w:b/>
                <w:bCs/>
                <w:iCs/>
                <w:color w:val="000000"/>
              </w:rPr>
              <w:t>EUR)</w:t>
            </w:r>
          </w:p>
        </w:tc>
        <w:tc>
          <w:tcPr>
            <w:tcW w:w="851" w:type="dxa"/>
            <w:tcBorders>
              <w:top w:val="single" w:sz="4" w:space="0" w:color="FABF8F"/>
              <w:left w:val="single" w:sz="8" w:space="0" w:color="FFFFFF"/>
              <w:bottom w:val="single" w:sz="4" w:space="0" w:color="FABF8F"/>
              <w:right w:val="single" w:sz="4" w:space="0" w:color="FABF8F"/>
            </w:tcBorders>
            <w:shd w:val="clear" w:color="auto" w:fill="F79646"/>
            <w:vAlign w:val="center"/>
          </w:tcPr>
          <w:p w14:paraId="03CA77BD" w14:textId="77777777" w:rsidR="00496867" w:rsidRPr="00352BEB" w:rsidRDefault="00496867" w:rsidP="00AD484A">
            <w:pPr>
              <w:autoSpaceDE w:val="0"/>
              <w:autoSpaceDN w:val="0"/>
              <w:adjustRightInd w:val="0"/>
              <w:spacing w:after="0" w:line="240" w:lineRule="auto"/>
              <w:contextualSpacing/>
              <w:jc w:val="center"/>
              <w:rPr>
                <w:rFonts w:cs="Calibri"/>
                <w:b/>
                <w:bCs/>
                <w:iCs/>
                <w:color w:val="000000"/>
                <w:lang w:val="el-GR"/>
              </w:rPr>
            </w:pPr>
            <w:r w:rsidRPr="00352BEB">
              <w:rPr>
                <w:rFonts w:cs="Calibri"/>
                <w:b/>
                <w:bCs/>
                <w:iCs/>
                <w:color w:val="000000"/>
                <w:lang w:val="el-GR"/>
              </w:rPr>
              <w:t>%</w:t>
            </w:r>
          </w:p>
        </w:tc>
      </w:tr>
      <w:tr w:rsidR="009C2470" w:rsidRPr="009C2470" w14:paraId="50173F76" w14:textId="77777777" w:rsidTr="009C2470">
        <w:trPr>
          <w:jc w:val="center"/>
        </w:trPr>
        <w:tc>
          <w:tcPr>
            <w:tcW w:w="2072" w:type="dxa"/>
            <w:vMerge w:val="restart"/>
            <w:tcBorders>
              <w:top w:val="single" w:sz="8" w:space="0" w:color="FFFFFF"/>
              <w:left w:val="single" w:sz="8" w:space="0" w:color="FFFFFF"/>
              <w:right w:val="single" w:sz="24" w:space="0" w:color="FFFFFF"/>
            </w:tcBorders>
            <w:shd w:val="clear" w:color="auto" w:fill="F79646"/>
            <w:vAlign w:val="center"/>
          </w:tcPr>
          <w:p w14:paraId="4C1FF3DA" w14:textId="5044516B" w:rsidR="009C2470" w:rsidRPr="00496867" w:rsidRDefault="009C2470" w:rsidP="00352BEB">
            <w:pPr>
              <w:keepNext/>
              <w:autoSpaceDE w:val="0"/>
              <w:autoSpaceDN w:val="0"/>
              <w:adjustRightInd w:val="0"/>
              <w:spacing w:after="0" w:line="240" w:lineRule="auto"/>
              <w:outlineLvl w:val="0"/>
              <w:rPr>
                <w:rFonts w:cs="Calibri"/>
                <w:b/>
                <w:bCs/>
                <w:iCs/>
                <w:smallCaps/>
                <w:lang w:val="el-GR"/>
              </w:rPr>
            </w:pPr>
            <w:r>
              <w:rPr>
                <w:rFonts w:cs="Calibri"/>
                <w:b/>
                <w:bCs/>
                <w:iCs/>
                <w:smallCaps/>
                <w:color w:val="FFFFFF"/>
                <w:lang w:val="el-GR"/>
              </w:rPr>
              <w:t xml:space="preserve">1. </w:t>
            </w:r>
            <w:r w:rsidRPr="00EE418E">
              <w:rPr>
                <w:rFonts w:cs="Calibri"/>
                <w:b/>
                <w:bCs/>
                <w:iCs/>
                <w:smallCaps/>
                <w:color w:val="FFFFFF"/>
                <w:lang w:val="el-GR"/>
              </w:rPr>
              <w:t>Υποστήριξη της Αναδιάρθρωσης της Κυπριακής Οικονομίας και Ενίσχυση της Ανταγωνιστικότητας</w:t>
            </w:r>
            <w:r>
              <w:rPr>
                <w:rFonts w:cs="Calibri"/>
                <w:b/>
                <w:bCs/>
                <w:iCs/>
                <w:smallCaps/>
                <w:color w:val="FFFFFF"/>
                <w:lang w:val="el-GR"/>
              </w:rPr>
              <w:t xml:space="preserve"> τησ</w:t>
            </w:r>
          </w:p>
        </w:tc>
        <w:tc>
          <w:tcPr>
            <w:tcW w:w="41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00DAD9D3" w14:textId="77777777" w:rsidR="009C2470" w:rsidRPr="00496867" w:rsidRDefault="009C2470" w:rsidP="00AD484A">
            <w:pPr>
              <w:autoSpaceDE w:val="0"/>
              <w:autoSpaceDN w:val="0"/>
              <w:adjustRightInd w:val="0"/>
              <w:spacing w:after="0" w:line="240" w:lineRule="auto"/>
              <w:rPr>
                <w:rFonts w:cs="Calibri"/>
                <w:b/>
                <w:i/>
                <w:iCs/>
                <w:color w:val="000000"/>
                <w:sz w:val="18"/>
                <w:szCs w:val="18"/>
                <w:lang w:val="el-GR"/>
              </w:rPr>
            </w:pPr>
            <w:r w:rsidRPr="00496867">
              <w:rPr>
                <w:rFonts w:cs="Calibri"/>
                <w:b/>
                <w:i/>
                <w:iCs/>
                <w:color w:val="000000"/>
                <w:sz w:val="18"/>
                <w:szCs w:val="18"/>
                <w:lang w:val="el-GR"/>
              </w:rPr>
              <w:t>1. Ενίσχυση της Έρευνας, της Τεχνολογικής Ανάπτυξης και της Καινοτομίας (ΕΤΑΚ)</w:t>
            </w:r>
          </w:p>
        </w:tc>
        <w:tc>
          <w:tcPr>
            <w:tcW w:w="1299"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66E32F25" w14:textId="77777777" w:rsidR="009C2470" w:rsidRPr="009C2470" w:rsidRDefault="009C2470" w:rsidP="0088247A">
            <w:pPr>
              <w:autoSpaceDE w:val="0"/>
              <w:autoSpaceDN w:val="0"/>
              <w:adjustRightInd w:val="0"/>
              <w:spacing w:after="0" w:line="240" w:lineRule="auto"/>
              <w:contextualSpacing/>
              <w:jc w:val="center"/>
              <w:rPr>
                <w:rFonts w:cs="Calibri"/>
                <w:b/>
                <w:bCs/>
                <w:iCs/>
                <w:color w:val="000000"/>
                <w:sz w:val="18"/>
                <w:szCs w:val="18"/>
                <w:lang w:val="el-GR"/>
              </w:rPr>
            </w:pPr>
            <w:r w:rsidRPr="009C2470">
              <w:rPr>
                <w:rFonts w:cs="Calibri"/>
                <w:b/>
                <w:bCs/>
                <w:iCs/>
                <w:color w:val="000000"/>
                <w:sz w:val="18"/>
                <w:szCs w:val="18"/>
                <w:lang w:val="el-GR"/>
              </w:rPr>
              <w:t>70.000.000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349480D3" w14:textId="77777777" w:rsidR="009C2470" w:rsidRPr="009C2470" w:rsidRDefault="009C2470" w:rsidP="0088247A">
            <w:pPr>
              <w:autoSpaceDE w:val="0"/>
              <w:autoSpaceDN w:val="0"/>
              <w:adjustRightInd w:val="0"/>
              <w:spacing w:after="0" w:line="240" w:lineRule="auto"/>
              <w:contextualSpacing/>
              <w:jc w:val="center"/>
              <w:rPr>
                <w:rFonts w:cs="Calibri"/>
                <w:b/>
                <w:bCs/>
                <w:iCs/>
                <w:color w:val="000000"/>
                <w:sz w:val="18"/>
                <w:szCs w:val="18"/>
                <w:lang w:val="el-GR"/>
              </w:rPr>
            </w:pPr>
            <w:r w:rsidRPr="009C2470">
              <w:rPr>
                <w:rFonts w:cs="Calibri"/>
                <w:b/>
                <w:bCs/>
                <w:iCs/>
                <w:color w:val="000000"/>
                <w:sz w:val="18"/>
                <w:szCs w:val="18"/>
                <w:lang w:val="el-GR"/>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01EF08D" w14:textId="77777777" w:rsidR="009C2470" w:rsidRPr="009C2470" w:rsidRDefault="009C2470" w:rsidP="0088247A">
            <w:pPr>
              <w:autoSpaceDE w:val="0"/>
              <w:autoSpaceDN w:val="0"/>
              <w:adjustRightInd w:val="0"/>
              <w:spacing w:after="0" w:line="240" w:lineRule="auto"/>
              <w:contextualSpacing/>
              <w:jc w:val="center"/>
              <w:rPr>
                <w:rFonts w:cs="Calibri"/>
                <w:b/>
                <w:iCs/>
                <w:color w:val="000000"/>
                <w:sz w:val="18"/>
                <w:szCs w:val="18"/>
                <w:lang w:val="el-GR"/>
              </w:rPr>
            </w:pPr>
            <w:r w:rsidRPr="009C2470">
              <w:rPr>
                <w:rFonts w:cs="Calibri"/>
                <w:b/>
                <w:iCs/>
                <w:color w:val="000000"/>
                <w:sz w:val="18"/>
                <w:szCs w:val="18"/>
                <w:lang w:val="el-GR"/>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7DFF1926" w14:textId="77777777" w:rsidR="009C2470" w:rsidRPr="00496867" w:rsidRDefault="009C2470" w:rsidP="0088247A">
            <w:pPr>
              <w:autoSpaceDE w:val="0"/>
              <w:autoSpaceDN w:val="0"/>
              <w:adjustRightInd w:val="0"/>
              <w:spacing w:after="0" w:line="240" w:lineRule="auto"/>
              <w:contextualSpacing/>
              <w:jc w:val="center"/>
              <w:rPr>
                <w:rFonts w:cs="Calibri"/>
                <w:b/>
                <w:iCs/>
                <w:color w:val="000000"/>
                <w:sz w:val="18"/>
                <w:szCs w:val="18"/>
                <w:lang w:val="el-GR"/>
              </w:rPr>
            </w:pPr>
            <w:r w:rsidRPr="00496867">
              <w:rPr>
                <w:rFonts w:cs="Calibri"/>
                <w:b/>
                <w:iCs/>
                <w:color w:val="000000"/>
                <w:sz w:val="18"/>
                <w:szCs w:val="18"/>
                <w:lang w:val="el-GR"/>
              </w:rPr>
              <w:t>2.142.000</w:t>
            </w:r>
          </w:p>
        </w:tc>
        <w:tc>
          <w:tcPr>
            <w:tcW w:w="1134" w:type="dxa"/>
            <w:tcBorders>
              <w:top w:val="single" w:sz="8" w:space="0" w:color="FFFFFF"/>
              <w:left w:val="single" w:sz="8" w:space="0" w:color="FFFFFF"/>
              <w:bottom w:val="single" w:sz="8" w:space="0" w:color="FFFFFF"/>
              <w:right w:val="single" w:sz="4" w:space="0" w:color="FABF8F"/>
            </w:tcBorders>
            <w:shd w:val="clear" w:color="auto" w:fill="FBCAA2"/>
            <w:vAlign w:val="center"/>
          </w:tcPr>
          <w:p w14:paraId="3E74D565" w14:textId="77777777" w:rsidR="009C2470" w:rsidRPr="009C2470" w:rsidRDefault="009C2470" w:rsidP="0088247A">
            <w:pPr>
              <w:autoSpaceDE w:val="0"/>
              <w:autoSpaceDN w:val="0"/>
              <w:adjustRightInd w:val="0"/>
              <w:spacing w:after="0" w:line="240" w:lineRule="auto"/>
              <w:contextualSpacing/>
              <w:jc w:val="center"/>
              <w:rPr>
                <w:rFonts w:cs="Calibri"/>
                <w:b/>
                <w:bCs/>
                <w:iCs/>
                <w:color w:val="000000"/>
                <w:sz w:val="18"/>
                <w:szCs w:val="18"/>
                <w:lang w:val="el-GR"/>
              </w:rPr>
            </w:pPr>
            <w:r w:rsidRPr="009C2470">
              <w:rPr>
                <w:rFonts w:cs="Calibri"/>
                <w:b/>
                <w:bCs/>
                <w:iCs/>
                <w:color w:val="000000"/>
                <w:sz w:val="18"/>
                <w:szCs w:val="18"/>
                <w:lang w:val="el-GR"/>
              </w:rPr>
              <w:t>0</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232B50A5" w14:textId="77777777" w:rsidR="009C2470" w:rsidRPr="009C2470" w:rsidRDefault="009C2470" w:rsidP="0088247A">
            <w:pPr>
              <w:autoSpaceDE w:val="0"/>
              <w:autoSpaceDN w:val="0"/>
              <w:adjustRightInd w:val="0"/>
              <w:spacing w:after="0" w:line="240" w:lineRule="auto"/>
              <w:contextualSpacing/>
              <w:jc w:val="center"/>
              <w:rPr>
                <w:rFonts w:cs="Calibri"/>
                <w:b/>
                <w:bCs/>
                <w:iCs/>
                <w:color w:val="984806"/>
                <w:sz w:val="20"/>
                <w:szCs w:val="20"/>
                <w:lang w:val="el-GR"/>
              </w:rPr>
            </w:pPr>
            <w:r w:rsidRPr="009C2470">
              <w:rPr>
                <w:rFonts w:cs="Calibri"/>
                <w:b/>
                <w:bCs/>
                <w:iCs/>
                <w:color w:val="984806"/>
                <w:sz w:val="20"/>
                <w:szCs w:val="20"/>
                <w:lang w:val="el-GR"/>
              </w:rPr>
              <w:t>72.</w:t>
            </w:r>
            <w:r w:rsidRPr="00AD484A">
              <w:rPr>
                <w:rFonts w:cs="Calibri"/>
                <w:b/>
                <w:bCs/>
                <w:iCs/>
                <w:color w:val="984806"/>
                <w:sz w:val="20"/>
                <w:szCs w:val="20"/>
                <w:lang w:val="el-GR"/>
              </w:rPr>
              <w:t>142</w:t>
            </w:r>
            <w:r w:rsidRPr="009C2470">
              <w:rPr>
                <w:rFonts w:cs="Calibri"/>
                <w:b/>
                <w:bCs/>
                <w:iCs/>
                <w:color w:val="984806"/>
                <w:sz w:val="20"/>
                <w:szCs w:val="20"/>
                <w:lang w:val="el-GR"/>
              </w:rPr>
              <w:t>.000</w:t>
            </w:r>
          </w:p>
        </w:tc>
        <w:tc>
          <w:tcPr>
            <w:tcW w:w="851" w:type="dxa"/>
            <w:tcBorders>
              <w:top w:val="single" w:sz="4" w:space="0" w:color="FABF8F"/>
              <w:left w:val="single" w:sz="4" w:space="0" w:color="FABF8F"/>
              <w:bottom w:val="single" w:sz="4" w:space="0" w:color="FABF8F"/>
              <w:right w:val="single" w:sz="4" w:space="0" w:color="FABF8F"/>
            </w:tcBorders>
            <w:vAlign w:val="center"/>
          </w:tcPr>
          <w:p w14:paraId="4FC19252" w14:textId="77777777" w:rsidR="009C2470" w:rsidRPr="00496867" w:rsidRDefault="009C2470" w:rsidP="0088247A">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8,25%</w:t>
            </w:r>
          </w:p>
        </w:tc>
      </w:tr>
      <w:tr w:rsidR="009C2470" w:rsidRPr="00496867" w14:paraId="56CC7434" w14:textId="77777777" w:rsidTr="009C2470">
        <w:trPr>
          <w:jc w:val="center"/>
        </w:trPr>
        <w:tc>
          <w:tcPr>
            <w:tcW w:w="2072" w:type="dxa"/>
            <w:vMerge/>
            <w:tcBorders>
              <w:left w:val="single" w:sz="8" w:space="0" w:color="FFFFFF"/>
              <w:right w:val="single" w:sz="24" w:space="0" w:color="FFFFFF"/>
            </w:tcBorders>
            <w:shd w:val="clear" w:color="auto" w:fill="F79646"/>
            <w:vAlign w:val="center"/>
          </w:tcPr>
          <w:p w14:paraId="26EA6C62" w14:textId="77777777" w:rsidR="009C2470" w:rsidRPr="00496867" w:rsidRDefault="009C2470" w:rsidP="00AD484A">
            <w:pPr>
              <w:autoSpaceDE w:val="0"/>
              <w:autoSpaceDN w:val="0"/>
              <w:adjustRightInd w:val="0"/>
              <w:spacing w:after="0" w:line="240" w:lineRule="auto"/>
              <w:rPr>
                <w:rFonts w:cs="Calibri"/>
                <w:b/>
                <w:bCs/>
                <w:iCs/>
                <w:color w:val="000000"/>
                <w:lang w:val="el-GR"/>
              </w:rPr>
            </w:pPr>
          </w:p>
        </w:tc>
        <w:tc>
          <w:tcPr>
            <w:tcW w:w="41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0A4CAF44" w14:textId="77777777" w:rsidR="009C2470" w:rsidRPr="00496867" w:rsidRDefault="009C2470" w:rsidP="00AD484A">
            <w:pPr>
              <w:autoSpaceDE w:val="0"/>
              <w:autoSpaceDN w:val="0"/>
              <w:adjustRightInd w:val="0"/>
              <w:spacing w:after="0" w:line="240" w:lineRule="auto"/>
              <w:rPr>
                <w:rFonts w:cs="Calibri"/>
                <w:b/>
                <w:i/>
                <w:iCs/>
                <w:color w:val="000000"/>
                <w:sz w:val="18"/>
                <w:szCs w:val="18"/>
                <w:lang w:val="el-GR"/>
              </w:rPr>
            </w:pPr>
            <w:r w:rsidRPr="00496867">
              <w:rPr>
                <w:rFonts w:cs="Calibri"/>
                <w:b/>
                <w:i/>
                <w:iCs/>
                <w:color w:val="000000"/>
                <w:sz w:val="18"/>
                <w:szCs w:val="18"/>
                <w:lang w:val="el-GR"/>
              </w:rPr>
              <w:t>2. Βελτίωση της Πρόσβασης, της Χρήσης και της Ποιότητας των Τεχνολογιών Πληροφοριών και Επικοινωνίας (ΤΠΕ)</w:t>
            </w:r>
          </w:p>
        </w:tc>
        <w:tc>
          <w:tcPr>
            <w:tcW w:w="1299"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3AEC7801"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73.500.000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1CC48FF6"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3BD3A2CA"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118F1BB"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315.000</w:t>
            </w:r>
          </w:p>
        </w:tc>
        <w:tc>
          <w:tcPr>
            <w:tcW w:w="1134" w:type="dxa"/>
            <w:tcBorders>
              <w:top w:val="single" w:sz="8" w:space="0" w:color="FFFFFF"/>
              <w:left w:val="single" w:sz="8" w:space="0" w:color="FFFFFF"/>
              <w:bottom w:val="single" w:sz="8" w:space="0" w:color="FFFFFF"/>
              <w:right w:val="single" w:sz="4" w:space="0" w:color="FABF8F"/>
            </w:tcBorders>
            <w:shd w:val="clear" w:color="auto" w:fill="FBCAA2"/>
            <w:vAlign w:val="center"/>
          </w:tcPr>
          <w:p w14:paraId="74FE5E4F"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5D74F28F" w14:textId="77777777" w:rsidR="009C2470" w:rsidRPr="00AD484A" w:rsidRDefault="009C2470" w:rsidP="0088247A">
            <w:pPr>
              <w:autoSpaceDE w:val="0"/>
              <w:autoSpaceDN w:val="0"/>
              <w:adjustRightInd w:val="0"/>
              <w:spacing w:after="0" w:line="240" w:lineRule="auto"/>
              <w:contextualSpacing/>
              <w:jc w:val="center"/>
              <w:rPr>
                <w:rFonts w:cs="Calibri"/>
                <w:b/>
                <w:bCs/>
                <w:iCs/>
                <w:color w:val="984806"/>
                <w:sz w:val="20"/>
                <w:szCs w:val="20"/>
              </w:rPr>
            </w:pPr>
            <w:r w:rsidRPr="00AD484A">
              <w:rPr>
                <w:rFonts w:cs="Calibri"/>
                <w:b/>
                <w:bCs/>
                <w:iCs/>
                <w:color w:val="984806"/>
                <w:sz w:val="20"/>
                <w:szCs w:val="20"/>
              </w:rPr>
              <w:t>73.815.000</w:t>
            </w:r>
          </w:p>
        </w:tc>
        <w:tc>
          <w:tcPr>
            <w:tcW w:w="851" w:type="dxa"/>
            <w:tcBorders>
              <w:top w:val="single" w:sz="4" w:space="0" w:color="FABF8F"/>
              <w:left w:val="single" w:sz="4" w:space="0" w:color="FABF8F"/>
              <w:bottom w:val="single" w:sz="4" w:space="0" w:color="FABF8F"/>
              <w:right w:val="single" w:sz="4" w:space="0" w:color="FABF8F"/>
            </w:tcBorders>
            <w:vAlign w:val="center"/>
          </w:tcPr>
          <w:p w14:paraId="6A8A4D82" w14:textId="77777777" w:rsidR="009C2470" w:rsidRPr="00496867" w:rsidRDefault="009C2470" w:rsidP="0088247A">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8,44%</w:t>
            </w:r>
          </w:p>
        </w:tc>
      </w:tr>
      <w:tr w:rsidR="009C2470" w:rsidRPr="00496867" w14:paraId="5B1F2EAC" w14:textId="77777777" w:rsidTr="009C2470">
        <w:trPr>
          <w:jc w:val="center"/>
        </w:trPr>
        <w:tc>
          <w:tcPr>
            <w:tcW w:w="2072" w:type="dxa"/>
            <w:vMerge/>
            <w:tcBorders>
              <w:left w:val="single" w:sz="8" w:space="0" w:color="FFFFFF"/>
              <w:right w:val="single" w:sz="24" w:space="0" w:color="FFFFFF"/>
            </w:tcBorders>
            <w:shd w:val="clear" w:color="auto" w:fill="F79646"/>
            <w:vAlign w:val="center"/>
          </w:tcPr>
          <w:p w14:paraId="7C92D204" w14:textId="77777777" w:rsidR="009C2470" w:rsidRPr="00496867" w:rsidRDefault="009C2470" w:rsidP="00AD484A">
            <w:pPr>
              <w:autoSpaceDE w:val="0"/>
              <w:autoSpaceDN w:val="0"/>
              <w:adjustRightInd w:val="0"/>
              <w:spacing w:after="0" w:line="240" w:lineRule="auto"/>
              <w:rPr>
                <w:rFonts w:cs="Calibri"/>
                <w:b/>
                <w:bCs/>
                <w:iCs/>
                <w:color w:val="000000"/>
                <w:lang w:val="el-GR"/>
              </w:rPr>
            </w:pPr>
          </w:p>
        </w:tc>
        <w:tc>
          <w:tcPr>
            <w:tcW w:w="41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278FEF92" w14:textId="77777777" w:rsidR="009C2470" w:rsidRPr="00496867" w:rsidRDefault="009C2470" w:rsidP="00AD484A">
            <w:pPr>
              <w:autoSpaceDE w:val="0"/>
              <w:autoSpaceDN w:val="0"/>
              <w:adjustRightInd w:val="0"/>
              <w:spacing w:after="0" w:line="240" w:lineRule="auto"/>
              <w:rPr>
                <w:rFonts w:cs="Calibri"/>
                <w:b/>
                <w:i/>
                <w:iCs/>
                <w:color w:val="000000"/>
                <w:sz w:val="18"/>
                <w:szCs w:val="18"/>
                <w:lang w:val="el-GR"/>
              </w:rPr>
            </w:pPr>
            <w:r w:rsidRPr="00496867">
              <w:rPr>
                <w:rFonts w:cs="Calibri"/>
                <w:b/>
                <w:i/>
                <w:iCs/>
                <w:color w:val="000000"/>
                <w:sz w:val="18"/>
                <w:szCs w:val="18"/>
                <w:lang w:val="el-GR"/>
              </w:rPr>
              <w:t>3. Βελτίωση της Ανταγωνιστικότητας των ΜμΕ συμπεριλαμβανομένων των τομέων της γεωργίας, της αλιείας και της υδατοκαλλιέργειας</w:t>
            </w:r>
          </w:p>
        </w:tc>
        <w:tc>
          <w:tcPr>
            <w:tcW w:w="1299"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57E6814A"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70.000.000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0FAD823"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724291E6"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7EE426ED"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36.202.377</w:t>
            </w:r>
          </w:p>
        </w:tc>
        <w:tc>
          <w:tcPr>
            <w:tcW w:w="1134" w:type="dxa"/>
            <w:tcBorders>
              <w:top w:val="single" w:sz="8" w:space="0" w:color="FFFFFF"/>
              <w:left w:val="single" w:sz="8" w:space="0" w:color="FFFFFF"/>
              <w:bottom w:val="single" w:sz="8" w:space="0" w:color="FFFFFF"/>
              <w:right w:val="single" w:sz="4" w:space="0" w:color="FABF8F"/>
            </w:tcBorders>
            <w:shd w:val="clear" w:color="auto" w:fill="FBCAA2"/>
            <w:vAlign w:val="center"/>
          </w:tcPr>
          <w:p w14:paraId="11B65467"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lang w:val="el-GR"/>
              </w:rPr>
            </w:pPr>
            <w:r w:rsidRPr="00496867">
              <w:rPr>
                <w:rFonts w:cs="Calibri"/>
                <w:b/>
                <w:bCs/>
                <w:iCs/>
                <w:color w:val="000000"/>
                <w:sz w:val="18"/>
                <w:szCs w:val="18"/>
                <w:lang w:val="el-GR"/>
              </w:rPr>
              <w:t>9.840.558</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1AD0A21A" w14:textId="77777777" w:rsidR="009C2470" w:rsidRPr="00AD484A" w:rsidRDefault="009C2470" w:rsidP="0088247A">
            <w:pPr>
              <w:autoSpaceDE w:val="0"/>
              <w:autoSpaceDN w:val="0"/>
              <w:adjustRightInd w:val="0"/>
              <w:spacing w:after="0" w:line="240" w:lineRule="auto"/>
              <w:contextualSpacing/>
              <w:jc w:val="center"/>
              <w:rPr>
                <w:rFonts w:cs="Calibri"/>
                <w:b/>
                <w:bCs/>
                <w:iCs/>
                <w:color w:val="984806"/>
                <w:sz w:val="20"/>
                <w:szCs w:val="20"/>
                <w:lang w:val="el-GR"/>
              </w:rPr>
            </w:pPr>
            <w:r w:rsidRPr="00AD484A">
              <w:rPr>
                <w:rFonts w:cs="Calibri"/>
                <w:b/>
                <w:bCs/>
                <w:iCs/>
                <w:color w:val="984806"/>
                <w:sz w:val="20"/>
                <w:szCs w:val="20"/>
              </w:rPr>
              <w:t>116.</w:t>
            </w:r>
            <w:r w:rsidRPr="00AD484A">
              <w:rPr>
                <w:rFonts w:cs="Calibri"/>
                <w:b/>
                <w:bCs/>
                <w:iCs/>
                <w:color w:val="984806"/>
                <w:sz w:val="20"/>
                <w:szCs w:val="20"/>
                <w:lang w:val="el-GR"/>
              </w:rPr>
              <w:t>042.935</w:t>
            </w:r>
          </w:p>
        </w:tc>
        <w:tc>
          <w:tcPr>
            <w:tcW w:w="851" w:type="dxa"/>
            <w:tcBorders>
              <w:top w:val="single" w:sz="4" w:space="0" w:color="FABF8F"/>
              <w:left w:val="single" w:sz="4" w:space="0" w:color="FABF8F"/>
              <w:bottom w:val="single" w:sz="4" w:space="0" w:color="FABF8F"/>
              <w:right w:val="single" w:sz="4" w:space="0" w:color="FABF8F"/>
            </w:tcBorders>
            <w:vAlign w:val="center"/>
          </w:tcPr>
          <w:p w14:paraId="50E77924" w14:textId="77777777" w:rsidR="009C2470" w:rsidRPr="00496867" w:rsidRDefault="009C2470" w:rsidP="0088247A">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13,26%</w:t>
            </w:r>
          </w:p>
        </w:tc>
      </w:tr>
      <w:tr w:rsidR="009C2470" w:rsidRPr="00496867" w14:paraId="74EE8CE7" w14:textId="77777777" w:rsidTr="009C2470">
        <w:trPr>
          <w:trHeight w:val="457"/>
          <w:jc w:val="center"/>
        </w:trPr>
        <w:tc>
          <w:tcPr>
            <w:tcW w:w="2072" w:type="dxa"/>
            <w:vMerge/>
            <w:tcBorders>
              <w:left w:val="single" w:sz="8" w:space="0" w:color="FFFFFF"/>
              <w:right w:val="single" w:sz="24" w:space="0" w:color="FFFFFF"/>
            </w:tcBorders>
            <w:shd w:val="clear" w:color="auto" w:fill="F79646"/>
            <w:vAlign w:val="center"/>
          </w:tcPr>
          <w:p w14:paraId="564E5918" w14:textId="77777777" w:rsidR="009C2470" w:rsidRPr="00496867" w:rsidRDefault="009C2470" w:rsidP="00AD484A">
            <w:pPr>
              <w:autoSpaceDE w:val="0"/>
              <w:autoSpaceDN w:val="0"/>
              <w:adjustRightInd w:val="0"/>
              <w:spacing w:after="0" w:line="240" w:lineRule="auto"/>
              <w:rPr>
                <w:rFonts w:cs="Calibri"/>
                <w:b/>
                <w:bCs/>
                <w:iCs/>
                <w:color w:val="000000"/>
                <w:lang w:val="el-GR"/>
              </w:rPr>
            </w:pPr>
          </w:p>
        </w:tc>
        <w:tc>
          <w:tcPr>
            <w:tcW w:w="41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16BCDB0B" w14:textId="77777777" w:rsidR="009C2470" w:rsidRPr="00496867" w:rsidRDefault="009C2470" w:rsidP="00AD484A">
            <w:pPr>
              <w:autoSpaceDE w:val="0"/>
              <w:autoSpaceDN w:val="0"/>
              <w:adjustRightInd w:val="0"/>
              <w:spacing w:after="0" w:line="240" w:lineRule="auto"/>
              <w:rPr>
                <w:rFonts w:cs="Calibri"/>
                <w:b/>
                <w:i/>
                <w:iCs/>
                <w:color w:val="000000"/>
                <w:sz w:val="18"/>
                <w:szCs w:val="18"/>
                <w:lang w:val="el-GR"/>
              </w:rPr>
            </w:pPr>
            <w:r w:rsidRPr="00496867">
              <w:rPr>
                <w:rFonts w:cs="Calibri"/>
                <w:b/>
                <w:i/>
                <w:iCs/>
                <w:color w:val="000000"/>
                <w:sz w:val="18"/>
                <w:szCs w:val="18"/>
                <w:lang w:val="el-GR"/>
              </w:rPr>
              <w:t>7. Προώθηση των Βιώσιμων Μεταφορών και Άρση των Εμποδίων σε Βασικές Υποδομές Δικτύων</w:t>
            </w:r>
          </w:p>
        </w:tc>
        <w:tc>
          <w:tcPr>
            <w:tcW w:w="1299"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662BE8FF"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lang w:val="el-GR"/>
              </w:rPr>
            </w:pPr>
            <w:r w:rsidRPr="00496867">
              <w:rPr>
                <w:rFonts w:cs="Calibri"/>
                <w:b/>
                <w:bCs/>
                <w:iCs/>
                <w:color w:val="000000"/>
                <w:sz w:val="18"/>
                <w:szCs w:val="18"/>
              </w:rPr>
              <w:t>14.250.000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3D965AB9"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C234E1D"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85.000.000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01787F63"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134" w:type="dxa"/>
            <w:tcBorders>
              <w:top w:val="single" w:sz="8" w:space="0" w:color="FFFFFF"/>
              <w:left w:val="single" w:sz="8" w:space="0" w:color="FFFFFF"/>
              <w:bottom w:val="single" w:sz="8" w:space="0" w:color="FFFFFF"/>
              <w:right w:val="single" w:sz="4" w:space="0" w:color="FABF8F"/>
            </w:tcBorders>
            <w:shd w:val="clear" w:color="auto" w:fill="FBCAA2"/>
            <w:vAlign w:val="center"/>
          </w:tcPr>
          <w:p w14:paraId="06BBAC12"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68C4DD5E" w14:textId="77777777" w:rsidR="009C2470" w:rsidRPr="00AD484A" w:rsidRDefault="009C2470" w:rsidP="0088247A">
            <w:pPr>
              <w:autoSpaceDE w:val="0"/>
              <w:autoSpaceDN w:val="0"/>
              <w:adjustRightInd w:val="0"/>
              <w:spacing w:after="0" w:line="240" w:lineRule="auto"/>
              <w:contextualSpacing/>
              <w:jc w:val="center"/>
              <w:rPr>
                <w:rFonts w:cs="Calibri"/>
                <w:b/>
                <w:bCs/>
                <w:iCs/>
                <w:color w:val="984806"/>
                <w:sz w:val="20"/>
                <w:szCs w:val="20"/>
              </w:rPr>
            </w:pPr>
            <w:r w:rsidRPr="00AD484A">
              <w:rPr>
                <w:rFonts w:cs="Calibri"/>
                <w:b/>
                <w:bCs/>
                <w:iCs/>
                <w:color w:val="984806"/>
                <w:sz w:val="20"/>
                <w:szCs w:val="20"/>
              </w:rPr>
              <w:t>99.250.000</w:t>
            </w:r>
          </w:p>
        </w:tc>
        <w:tc>
          <w:tcPr>
            <w:tcW w:w="851" w:type="dxa"/>
            <w:tcBorders>
              <w:top w:val="single" w:sz="4" w:space="0" w:color="FABF8F"/>
              <w:left w:val="single" w:sz="4" w:space="0" w:color="FABF8F"/>
              <w:bottom w:val="single" w:sz="4" w:space="0" w:color="FABF8F"/>
              <w:right w:val="single" w:sz="4" w:space="0" w:color="FABF8F"/>
            </w:tcBorders>
            <w:vAlign w:val="center"/>
          </w:tcPr>
          <w:p w14:paraId="636D58A5" w14:textId="77777777" w:rsidR="009C2470" w:rsidRPr="00496867" w:rsidRDefault="009C2470" w:rsidP="0088247A">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11,35%</w:t>
            </w:r>
          </w:p>
        </w:tc>
      </w:tr>
      <w:tr w:rsidR="009C2470" w:rsidRPr="00496867" w14:paraId="3F994696" w14:textId="77777777" w:rsidTr="009C2470">
        <w:trPr>
          <w:jc w:val="center"/>
        </w:trPr>
        <w:tc>
          <w:tcPr>
            <w:tcW w:w="2072" w:type="dxa"/>
            <w:vMerge w:val="restart"/>
            <w:tcBorders>
              <w:top w:val="single" w:sz="8" w:space="0" w:color="FFFFFF"/>
              <w:left w:val="single" w:sz="8" w:space="0" w:color="FFFFFF"/>
              <w:right w:val="single" w:sz="24" w:space="0" w:color="FFFFFF"/>
            </w:tcBorders>
            <w:shd w:val="clear" w:color="auto" w:fill="F79646"/>
            <w:vAlign w:val="center"/>
          </w:tcPr>
          <w:p w14:paraId="7EA06762" w14:textId="77777777" w:rsidR="009C2470" w:rsidRPr="00496867" w:rsidRDefault="009C2470" w:rsidP="00352BEB">
            <w:pPr>
              <w:keepNext/>
              <w:autoSpaceDE w:val="0"/>
              <w:autoSpaceDN w:val="0"/>
              <w:adjustRightInd w:val="0"/>
              <w:spacing w:after="0" w:line="240" w:lineRule="auto"/>
              <w:outlineLvl w:val="0"/>
              <w:rPr>
                <w:rFonts w:ascii="Times New Roman" w:hAnsi="Times New Roman" w:cs="Calibri"/>
                <w:iCs/>
                <w:color w:val="FFFFFF"/>
                <w:sz w:val="24"/>
                <w:szCs w:val="28"/>
                <w:lang w:val="el-GR"/>
              </w:rPr>
            </w:pPr>
            <w:bookmarkStart w:id="16" w:name="_Toc487547736"/>
            <w:r>
              <w:rPr>
                <w:rFonts w:cs="Calibri"/>
                <w:b/>
                <w:bCs/>
                <w:iCs/>
                <w:smallCaps/>
                <w:color w:val="FFFFFF"/>
                <w:lang w:val="el-GR"/>
              </w:rPr>
              <w:t xml:space="preserve">2. </w:t>
            </w:r>
            <w:r w:rsidRPr="00496867">
              <w:rPr>
                <w:rFonts w:cs="Calibri"/>
                <w:b/>
                <w:bCs/>
                <w:iCs/>
                <w:smallCaps/>
                <w:color w:val="FFFFFF"/>
                <w:lang w:val="el-GR"/>
              </w:rPr>
              <w:t>Αναβάθμιση Ανθρώπινου Δυναμικού, Προώθηση της Απασχόλησης και Κοινωνική Συνοχή</w:t>
            </w:r>
            <w:bookmarkEnd w:id="16"/>
          </w:p>
        </w:tc>
        <w:tc>
          <w:tcPr>
            <w:tcW w:w="41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6AAB2956" w14:textId="77777777" w:rsidR="009C2470" w:rsidRPr="00496867" w:rsidRDefault="009C2470" w:rsidP="00AD484A">
            <w:pPr>
              <w:spacing w:after="0" w:line="240" w:lineRule="auto"/>
              <w:rPr>
                <w:b/>
                <w:i/>
                <w:sz w:val="18"/>
                <w:szCs w:val="18"/>
                <w:lang w:val="el-GR"/>
              </w:rPr>
            </w:pPr>
            <w:r w:rsidRPr="00496867">
              <w:rPr>
                <w:b/>
                <w:i/>
                <w:sz w:val="18"/>
                <w:szCs w:val="18"/>
                <w:lang w:val="el-GR"/>
              </w:rPr>
              <w:t>8. Προώθηση της βιώσιμης απασχόλησης υψηλής ποιότητας και υποστήριξη της κινητικότητας των εργαζομένων</w:t>
            </w:r>
          </w:p>
        </w:tc>
        <w:tc>
          <w:tcPr>
            <w:tcW w:w="1299"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35DC97E" w14:textId="77777777" w:rsidR="009C2470" w:rsidRPr="009C2470" w:rsidRDefault="009C2470" w:rsidP="0088247A">
            <w:pPr>
              <w:autoSpaceDE w:val="0"/>
              <w:autoSpaceDN w:val="0"/>
              <w:adjustRightInd w:val="0"/>
              <w:spacing w:after="0" w:line="240" w:lineRule="auto"/>
              <w:contextualSpacing/>
              <w:jc w:val="center"/>
              <w:rPr>
                <w:rFonts w:cs="Calibri"/>
                <w:b/>
                <w:bCs/>
                <w:iCs/>
                <w:color w:val="000000"/>
                <w:sz w:val="18"/>
                <w:szCs w:val="18"/>
                <w:lang w:val="el-GR"/>
              </w:rPr>
            </w:pPr>
            <w:r w:rsidRPr="009C2470">
              <w:rPr>
                <w:rFonts w:cs="Calibri"/>
                <w:b/>
                <w:bCs/>
                <w:iCs/>
                <w:color w:val="000000"/>
                <w:sz w:val="18"/>
                <w:szCs w:val="18"/>
                <w:lang w:val="el-GR"/>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0007CD48"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lang w:val="el-GR"/>
              </w:rPr>
            </w:pPr>
            <w:r w:rsidRPr="00496867">
              <w:rPr>
                <w:rFonts w:cs="Calibri"/>
                <w:b/>
                <w:bCs/>
                <w:iCs/>
                <w:color w:val="000000"/>
                <w:sz w:val="18"/>
                <w:szCs w:val="18"/>
                <w:lang w:val="el-GR"/>
              </w:rPr>
              <w:t>81.072.101</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65AE2DA" w14:textId="77777777" w:rsidR="009C2470" w:rsidRPr="009C2470" w:rsidRDefault="009C2470" w:rsidP="0088247A">
            <w:pPr>
              <w:autoSpaceDE w:val="0"/>
              <w:autoSpaceDN w:val="0"/>
              <w:adjustRightInd w:val="0"/>
              <w:spacing w:after="0" w:line="240" w:lineRule="auto"/>
              <w:contextualSpacing/>
              <w:jc w:val="center"/>
              <w:rPr>
                <w:rFonts w:cs="Calibri"/>
                <w:b/>
                <w:bCs/>
                <w:iCs/>
                <w:color w:val="000000"/>
                <w:sz w:val="18"/>
                <w:szCs w:val="18"/>
                <w:lang w:val="el-GR"/>
              </w:rPr>
            </w:pPr>
            <w:r w:rsidRPr="009C2470">
              <w:rPr>
                <w:rFonts w:cs="Calibri"/>
                <w:b/>
                <w:bCs/>
                <w:iCs/>
                <w:color w:val="000000"/>
                <w:sz w:val="18"/>
                <w:szCs w:val="18"/>
                <w:lang w:val="el-GR"/>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27BD98AB"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9C2470">
              <w:rPr>
                <w:rFonts w:cs="Calibri"/>
                <w:b/>
                <w:bCs/>
                <w:iCs/>
                <w:color w:val="000000"/>
                <w:sz w:val="18"/>
                <w:szCs w:val="18"/>
                <w:lang w:val="el-GR"/>
              </w:rPr>
              <w:t>6.300.0</w:t>
            </w:r>
            <w:r w:rsidRPr="00496867">
              <w:rPr>
                <w:rFonts w:cs="Calibri"/>
                <w:b/>
                <w:bCs/>
                <w:iCs/>
                <w:color w:val="000000"/>
                <w:sz w:val="18"/>
                <w:szCs w:val="18"/>
              </w:rPr>
              <w:t>00</w:t>
            </w:r>
          </w:p>
        </w:tc>
        <w:tc>
          <w:tcPr>
            <w:tcW w:w="1134" w:type="dxa"/>
            <w:tcBorders>
              <w:top w:val="single" w:sz="8" w:space="0" w:color="FFFFFF"/>
              <w:left w:val="single" w:sz="8" w:space="0" w:color="FFFFFF"/>
              <w:bottom w:val="single" w:sz="8" w:space="0" w:color="FFFFFF"/>
              <w:right w:val="single" w:sz="4" w:space="0" w:color="FABF8F"/>
            </w:tcBorders>
            <w:shd w:val="clear" w:color="auto" w:fill="FBCAA2"/>
            <w:vAlign w:val="center"/>
          </w:tcPr>
          <w:p w14:paraId="2F96A693"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5.250.000</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41810FB2" w14:textId="77777777" w:rsidR="009C2470" w:rsidRPr="00AD484A" w:rsidRDefault="009C2470" w:rsidP="0088247A">
            <w:pPr>
              <w:autoSpaceDE w:val="0"/>
              <w:autoSpaceDN w:val="0"/>
              <w:adjustRightInd w:val="0"/>
              <w:spacing w:after="0" w:line="240" w:lineRule="auto"/>
              <w:contextualSpacing/>
              <w:jc w:val="center"/>
              <w:rPr>
                <w:rFonts w:cs="Calibri"/>
                <w:b/>
                <w:bCs/>
                <w:iCs/>
                <w:color w:val="984806"/>
                <w:sz w:val="20"/>
                <w:szCs w:val="20"/>
                <w:lang w:val="el-GR"/>
              </w:rPr>
            </w:pPr>
            <w:r w:rsidRPr="00AD484A">
              <w:rPr>
                <w:rFonts w:cs="Calibri"/>
                <w:b/>
                <w:bCs/>
                <w:iCs/>
                <w:color w:val="984806"/>
                <w:sz w:val="20"/>
                <w:szCs w:val="20"/>
                <w:lang w:val="el-GR"/>
              </w:rPr>
              <w:t>92.622.101</w:t>
            </w:r>
          </w:p>
        </w:tc>
        <w:tc>
          <w:tcPr>
            <w:tcW w:w="851" w:type="dxa"/>
            <w:tcBorders>
              <w:top w:val="single" w:sz="4" w:space="0" w:color="FABF8F"/>
              <w:left w:val="single" w:sz="4" w:space="0" w:color="FABF8F"/>
              <w:bottom w:val="single" w:sz="4" w:space="0" w:color="FABF8F"/>
              <w:right w:val="single" w:sz="4" w:space="0" w:color="FABF8F"/>
            </w:tcBorders>
            <w:vAlign w:val="center"/>
          </w:tcPr>
          <w:p w14:paraId="0F4405A5" w14:textId="77777777" w:rsidR="009C2470" w:rsidRPr="00496867" w:rsidRDefault="009C2470" w:rsidP="0088247A">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10,60%</w:t>
            </w:r>
          </w:p>
        </w:tc>
      </w:tr>
      <w:tr w:rsidR="009C2470" w:rsidRPr="00496867" w14:paraId="3C41B53D" w14:textId="77777777" w:rsidTr="009C2470">
        <w:trPr>
          <w:jc w:val="center"/>
        </w:trPr>
        <w:tc>
          <w:tcPr>
            <w:tcW w:w="2072" w:type="dxa"/>
            <w:vMerge/>
            <w:tcBorders>
              <w:left w:val="single" w:sz="8" w:space="0" w:color="FFFFFF"/>
              <w:right w:val="single" w:sz="24" w:space="0" w:color="FFFFFF"/>
            </w:tcBorders>
            <w:shd w:val="clear" w:color="auto" w:fill="F79646"/>
            <w:vAlign w:val="center"/>
          </w:tcPr>
          <w:p w14:paraId="7635B272" w14:textId="77777777" w:rsidR="009C2470" w:rsidRPr="00496867" w:rsidRDefault="009C2470" w:rsidP="00352BEB">
            <w:pPr>
              <w:autoSpaceDE w:val="0"/>
              <w:autoSpaceDN w:val="0"/>
              <w:adjustRightInd w:val="0"/>
              <w:spacing w:after="0" w:line="240" w:lineRule="auto"/>
              <w:rPr>
                <w:rFonts w:cs="Calibri"/>
                <w:b/>
                <w:bCs/>
                <w:iCs/>
                <w:color w:val="000000"/>
                <w:lang w:val="el-GR"/>
              </w:rPr>
            </w:pPr>
          </w:p>
        </w:tc>
        <w:tc>
          <w:tcPr>
            <w:tcW w:w="41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050BA3F9" w14:textId="77777777" w:rsidR="009C2470" w:rsidRPr="00496867" w:rsidRDefault="009C2470" w:rsidP="00AD484A">
            <w:pPr>
              <w:spacing w:after="0" w:line="240" w:lineRule="auto"/>
              <w:rPr>
                <w:b/>
                <w:i/>
                <w:sz w:val="18"/>
                <w:szCs w:val="18"/>
                <w:lang w:val="el-GR"/>
              </w:rPr>
            </w:pPr>
            <w:r w:rsidRPr="00496867">
              <w:rPr>
                <w:b/>
                <w:i/>
                <w:sz w:val="18"/>
                <w:szCs w:val="18"/>
                <w:lang w:val="el-GR"/>
              </w:rPr>
              <w:t>9. Προώθηση της κοινωνικής ένταξης και καταπολέμηση της φτώχειας και των διακρίσεων</w:t>
            </w:r>
          </w:p>
        </w:tc>
        <w:tc>
          <w:tcPr>
            <w:tcW w:w="1299"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2A9E31F1"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15.000.000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11EEC405"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27.000.000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0FE2A2A6"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048681F1"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13.545.000</w:t>
            </w:r>
          </w:p>
        </w:tc>
        <w:tc>
          <w:tcPr>
            <w:tcW w:w="1134" w:type="dxa"/>
            <w:tcBorders>
              <w:top w:val="single" w:sz="8" w:space="0" w:color="FFFFFF"/>
              <w:left w:val="single" w:sz="8" w:space="0" w:color="FFFFFF"/>
              <w:bottom w:val="single" w:sz="8" w:space="0" w:color="FFFFFF"/>
              <w:right w:val="single" w:sz="4" w:space="0" w:color="FABF8F"/>
            </w:tcBorders>
            <w:shd w:val="clear" w:color="auto" w:fill="FBCAA2"/>
            <w:vAlign w:val="center"/>
          </w:tcPr>
          <w:p w14:paraId="3733A08A"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52A2AB7E" w14:textId="77777777" w:rsidR="009C2470" w:rsidRPr="00AD484A" w:rsidRDefault="009C2470" w:rsidP="0088247A">
            <w:pPr>
              <w:autoSpaceDE w:val="0"/>
              <w:autoSpaceDN w:val="0"/>
              <w:adjustRightInd w:val="0"/>
              <w:spacing w:after="0" w:line="240" w:lineRule="auto"/>
              <w:contextualSpacing/>
              <w:jc w:val="center"/>
              <w:rPr>
                <w:rFonts w:cs="Calibri"/>
                <w:b/>
                <w:bCs/>
                <w:iCs/>
                <w:color w:val="984806"/>
                <w:sz w:val="20"/>
                <w:szCs w:val="20"/>
              </w:rPr>
            </w:pPr>
            <w:r w:rsidRPr="00AD484A">
              <w:rPr>
                <w:rFonts w:cs="Calibri"/>
                <w:b/>
                <w:bCs/>
                <w:iCs/>
                <w:color w:val="984806"/>
                <w:sz w:val="20"/>
                <w:szCs w:val="20"/>
              </w:rPr>
              <w:t>55.545.000</w:t>
            </w:r>
          </w:p>
        </w:tc>
        <w:tc>
          <w:tcPr>
            <w:tcW w:w="851" w:type="dxa"/>
            <w:tcBorders>
              <w:top w:val="single" w:sz="4" w:space="0" w:color="FABF8F"/>
              <w:left w:val="single" w:sz="4" w:space="0" w:color="FABF8F"/>
              <w:bottom w:val="single" w:sz="4" w:space="0" w:color="FABF8F"/>
              <w:right w:val="single" w:sz="4" w:space="0" w:color="FABF8F"/>
            </w:tcBorders>
            <w:vAlign w:val="center"/>
          </w:tcPr>
          <w:p w14:paraId="4599E70D" w14:textId="77777777" w:rsidR="009C2470" w:rsidRPr="00496867" w:rsidRDefault="009C2470" w:rsidP="0088247A">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6,35%</w:t>
            </w:r>
          </w:p>
        </w:tc>
      </w:tr>
      <w:tr w:rsidR="009C2470" w:rsidRPr="00496867" w14:paraId="2257A4F7" w14:textId="77777777" w:rsidTr="003A7126">
        <w:trPr>
          <w:jc w:val="center"/>
        </w:trPr>
        <w:tc>
          <w:tcPr>
            <w:tcW w:w="2072" w:type="dxa"/>
            <w:vMerge/>
            <w:tcBorders>
              <w:left w:val="single" w:sz="8" w:space="0" w:color="FFFFFF"/>
              <w:right w:val="single" w:sz="24" w:space="0" w:color="FFFFFF"/>
            </w:tcBorders>
            <w:shd w:val="clear" w:color="auto" w:fill="F79646"/>
            <w:vAlign w:val="center"/>
          </w:tcPr>
          <w:p w14:paraId="3FD2C4FE" w14:textId="77777777" w:rsidR="009C2470" w:rsidRPr="00496867" w:rsidRDefault="009C2470" w:rsidP="00352BEB">
            <w:pPr>
              <w:autoSpaceDE w:val="0"/>
              <w:autoSpaceDN w:val="0"/>
              <w:adjustRightInd w:val="0"/>
              <w:spacing w:after="0" w:line="240" w:lineRule="auto"/>
              <w:rPr>
                <w:rFonts w:cs="Calibri"/>
                <w:b/>
                <w:bCs/>
                <w:iCs/>
                <w:color w:val="000000"/>
                <w:lang w:val="el-GR"/>
              </w:rPr>
            </w:pPr>
          </w:p>
        </w:tc>
        <w:tc>
          <w:tcPr>
            <w:tcW w:w="41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13DC2A54" w14:textId="77777777" w:rsidR="009C2470" w:rsidRPr="00496867" w:rsidRDefault="009C2470" w:rsidP="00AD484A">
            <w:pPr>
              <w:spacing w:after="0" w:line="240" w:lineRule="auto"/>
              <w:rPr>
                <w:b/>
                <w:i/>
                <w:sz w:val="18"/>
                <w:szCs w:val="18"/>
                <w:lang w:val="el-GR"/>
              </w:rPr>
            </w:pPr>
            <w:r w:rsidRPr="00496867">
              <w:rPr>
                <w:b/>
                <w:i/>
                <w:sz w:val="18"/>
                <w:szCs w:val="18"/>
                <w:lang w:val="el-GR"/>
              </w:rPr>
              <w:t>10. Επένδυση στην εκπαίδευση, την κατάρτιση και την επαγγελματική κατάρτιση για την απόκτηση δεξιοτήτων και τη δια βίου μάθηση</w:t>
            </w:r>
          </w:p>
        </w:tc>
        <w:tc>
          <w:tcPr>
            <w:tcW w:w="1299"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00509B22"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2F5C06D3"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26.000.000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787E8B37"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29AFBEE8"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252.000</w:t>
            </w:r>
          </w:p>
        </w:tc>
        <w:tc>
          <w:tcPr>
            <w:tcW w:w="1134" w:type="dxa"/>
            <w:tcBorders>
              <w:top w:val="single" w:sz="8" w:space="0" w:color="FFFFFF"/>
              <w:left w:val="single" w:sz="8" w:space="0" w:color="FFFFFF"/>
              <w:bottom w:val="single" w:sz="8" w:space="0" w:color="FFFFFF"/>
              <w:right w:val="single" w:sz="4" w:space="0" w:color="FABF8F"/>
            </w:tcBorders>
            <w:shd w:val="clear" w:color="auto" w:fill="FBCAA2"/>
            <w:vAlign w:val="center"/>
          </w:tcPr>
          <w:p w14:paraId="563BA2EC" w14:textId="77777777" w:rsidR="009C2470" w:rsidRPr="00496867" w:rsidRDefault="009C2470" w:rsidP="0088247A">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48E60D01" w14:textId="77777777" w:rsidR="009C2470" w:rsidRPr="00AD484A" w:rsidRDefault="009C2470" w:rsidP="0088247A">
            <w:pPr>
              <w:autoSpaceDE w:val="0"/>
              <w:autoSpaceDN w:val="0"/>
              <w:adjustRightInd w:val="0"/>
              <w:spacing w:after="0" w:line="240" w:lineRule="auto"/>
              <w:contextualSpacing/>
              <w:jc w:val="center"/>
              <w:rPr>
                <w:rFonts w:cs="Calibri"/>
                <w:b/>
                <w:bCs/>
                <w:iCs/>
                <w:color w:val="984806"/>
                <w:sz w:val="20"/>
                <w:szCs w:val="20"/>
              </w:rPr>
            </w:pPr>
            <w:r w:rsidRPr="00AD484A">
              <w:rPr>
                <w:rFonts w:cs="Calibri"/>
                <w:b/>
                <w:bCs/>
                <w:iCs/>
                <w:color w:val="984806"/>
                <w:sz w:val="20"/>
                <w:szCs w:val="20"/>
              </w:rPr>
              <w:t>26.252.000</w:t>
            </w:r>
          </w:p>
        </w:tc>
        <w:tc>
          <w:tcPr>
            <w:tcW w:w="851" w:type="dxa"/>
            <w:tcBorders>
              <w:top w:val="single" w:sz="4" w:space="0" w:color="FABF8F"/>
              <w:left w:val="single" w:sz="4" w:space="0" w:color="FABF8F"/>
              <w:bottom w:val="single" w:sz="4" w:space="0" w:color="FABF8F"/>
              <w:right w:val="single" w:sz="4" w:space="0" w:color="FABF8F"/>
            </w:tcBorders>
            <w:vAlign w:val="center"/>
          </w:tcPr>
          <w:p w14:paraId="3C8DADF7" w14:textId="77777777" w:rsidR="009C2470" w:rsidRPr="00496867" w:rsidRDefault="009C2470" w:rsidP="0088247A">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3,00%</w:t>
            </w:r>
          </w:p>
        </w:tc>
      </w:tr>
      <w:tr w:rsidR="009C2470" w:rsidRPr="009C2470" w14:paraId="7F30358E" w14:textId="77777777" w:rsidTr="009C2470">
        <w:trPr>
          <w:jc w:val="center"/>
        </w:trPr>
        <w:tc>
          <w:tcPr>
            <w:tcW w:w="2072" w:type="dxa"/>
            <w:vMerge/>
            <w:tcBorders>
              <w:left w:val="single" w:sz="8" w:space="0" w:color="FFFFFF"/>
              <w:bottom w:val="single" w:sz="8" w:space="0" w:color="FFFFFF"/>
              <w:right w:val="single" w:sz="24" w:space="0" w:color="FFFFFF"/>
            </w:tcBorders>
            <w:shd w:val="clear" w:color="auto" w:fill="F79646"/>
            <w:vAlign w:val="center"/>
          </w:tcPr>
          <w:p w14:paraId="17604F1B" w14:textId="77777777" w:rsidR="009C2470" w:rsidRPr="00496867" w:rsidRDefault="009C2470" w:rsidP="009C2470">
            <w:pPr>
              <w:autoSpaceDE w:val="0"/>
              <w:autoSpaceDN w:val="0"/>
              <w:adjustRightInd w:val="0"/>
              <w:spacing w:after="0" w:line="240" w:lineRule="auto"/>
              <w:rPr>
                <w:rFonts w:cs="Calibri"/>
                <w:b/>
                <w:bCs/>
                <w:iCs/>
                <w:color w:val="000000"/>
                <w:lang w:val="el-GR"/>
              </w:rPr>
            </w:pPr>
          </w:p>
        </w:tc>
        <w:tc>
          <w:tcPr>
            <w:tcW w:w="41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64C77B33" w14:textId="77777777" w:rsidR="009C2470" w:rsidRPr="00496867" w:rsidRDefault="009C2470" w:rsidP="009C2470">
            <w:pPr>
              <w:spacing w:after="0" w:line="240" w:lineRule="auto"/>
              <w:rPr>
                <w:b/>
                <w:i/>
                <w:sz w:val="18"/>
                <w:szCs w:val="18"/>
                <w:lang w:val="el-GR"/>
              </w:rPr>
            </w:pPr>
            <w:r w:rsidRPr="00496867">
              <w:rPr>
                <w:rFonts w:cs="Calibri"/>
                <w:b/>
                <w:i/>
                <w:iCs/>
                <w:color w:val="000000"/>
                <w:sz w:val="18"/>
                <w:szCs w:val="18"/>
                <w:lang w:val="el-GR"/>
              </w:rPr>
              <w:t>11. Ενίσχυση της θεσμικής ικανότητας των δημόσιων αρχών και των ενδιαφερόμενων φορέων και της αποτελεσματικής διοίκησης</w:t>
            </w:r>
          </w:p>
        </w:tc>
        <w:tc>
          <w:tcPr>
            <w:tcW w:w="1299"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53CE3CCD" w14:textId="77777777" w:rsidR="009C2470" w:rsidRPr="009C2470" w:rsidRDefault="009C2470" w:rsidP="009C2470">
            <w:pPr>
              <w:autoSpaceDE w:val="0"/>
              <w:autoSpaceDN w:val="0"/>
              <w:adjustRightInd w:val="0"/>
              <w:spacing w:after="0" w:line="240" w:lineRule="auto"/>
              <w:contextualSpacing/>
              <w:jc w:val="center"/>
              <w:rPr>
                <w:rFonts w:cs="Calibri"/>
                <w:b/>
                <w:bCs/>
                <w:iCs/>
                <w:color w:val="000000"/>
                <w:sz w:val="18"/>
                <w:szCs w:val="18"/>
                <w:lang w:val="el-GR"/>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29FF662E" w14:textId="77777777" w:rsidR="009C2470" w:rsidRPr="009C2470" w:rsidRDefault="009C2470" w:rsidP="009C2470">
            <w:pPr>
              <w:autoSpaceDE w:val="0"/>
              <w:autoSpaceDN w:val="0"/>
              <w:adjustRightInd w:val="0"/>
              <w:spacing w:after="0" w:line="240" w:lineRule="auto"/>
              <w:contextualSpacing/>
              <w:jc w:val="center"/>
              <w:rPr>
                <w:rFonts w:cs="Calibri"/>
                <w:b/>
                <w:bCs/>
                <w:iCs/>
                <w:color w:val="000000"/>
                <w:sz w:val="18"/>
                <w:szCs w:val="18"/>
                <w:lang w:val="el-GR"/>
              </w:rPr>
            </w:pPr>
            <w:r w:rsidRPr="00496867">
              <w:rPr>
                <w:rFonts w:cs="Calibri"/>
                <w:b/>
                <w:bCs/>
                <w:iCs/>
                <w:color w:val="000000"/>
                <w:sz w:val="18"/>
                <w:szCs w:val="18"/>
              </w:rPr>
              <w:t>5.055.000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5FFC728" w14:textId="77777777" w:rsidR="009C2470" w:rsidRPr="009C2470" w:rsidRDefault="009C2470" w:rsidP="009C2470">
            <w:pPr>
              <w:autoSpaceDE w:val="0"/>
              <w:autoSpaceDN w:val="0"/>
              <w:adjustRightInd w:val="0"/>
              <w:spacing w:after="0" w:line="240" w:lineRule="auto"/>
              <w:contextualSpacing/>
              <w:jc w:val="center"/>
              <w:rPr>
                <w:rFonts w:cs="Calibri"/>
                <w:b/>
                <w:bCs/>
                <w:iCs/>
                <w:color w:val="000000"/>
                <w:sz w:val="18"/>
                <w:szCs w:val="18"/>
                <w:lang w:val="el-GR"/>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00881836" w14:textId="77777777" w:rsidR="009C2470" w:rsidRPr="009C2470" w:rsidRDefault="009C2470" w:rsidP="009C2470">
            <w:pPr>
              <w:autoSpaceDE w:val="0"/>
              <w:autoSpaceDN w:val="0"/>
              <w:adjustRightInd w:val="0"/>
              <w:spacing w:after="0" w:line="240" w:lineRule="auto"/>
              <w:contextualSpacing/>
              <w:jc w:val="center"/>
              <w:rPr>
                <w:rFonts w:cs="Calibri"/>
                <w:b/>
                <w:bCs/>
                <w:iCs/>
                <w:color w:val="000000"/>
                <w:sz w:val="18"/>
                <w:szCs w:val="18"/>
                <w:lang w:val="el-GR"/>
              </w:rPr>
            </w:pPr>
            <w:r w:rsidRPr="00496867">
              <w:rPr>
                <w:rFonts w:cs="Calibri"/>
                <w:b/>
                <w:bCs/>
                <w:iCs/>
                <w:color w:val="000000"/>
                <w:sz w:val="18"/>
                <w:szCs w:val="18"/>
              </w:rPr>
              <w:t>0</w:t>
            </w:r>
          </w:p>
        </w:tc>
        <w:tc>
          <w:tcPr>
            <w:tcW w:w="1134" w:type="dxa"/>
            <w:tcBorders>
              <w:top w:val="single" w:sz="8" w:space="0" w:color="FFFFFF"/>
              <w:left w:val="single" w:sz="8" w:space="0" w:color="FFFFFF"/>
              <w:bottom w:val="single" w:sz="8" w:space="0" w:color="FFFFFF"/>
              <w:right w:val="single" w:sz="4" w:space="0" w:color="FABF8F"/>
            </w:tcBorders>
            <w:shd w:val="clear" w:color="auto" w:fill="FBCAA2"/>
            <w:vAlign w:val="center"/>
          </w:tcPr>
          <w:p w14:paraId="00157875" w14:textId="77777777" w:rsidR="009C2470" w:rsidRPr="009C2470" w:rsidRDefault="009C2470" w:rsidP="009C2470">
            <w:pPr>
              <w:autoSpaceDE w:val="0"/>
              <w:autoSpaceDN w:val="0"/>
              <w:adjustRightInd w:val="0"/>
              <w:spacing w:after="0" w:line="240" w:lineRule="auto"/>
              <w:contextualSpacing/>
              <w:jc w:val="center"/>
              <w:rPr>
                <w:rFonts w:cs="Calibri"/>
                <w:b/>
                <w:bCs/>
                <w:iCs/>
                <w:color w:val="000000"/>
                <w:sz w:val="18"/>
                <w:szCs w:val="18"/>
                <w:lang w:val="el-GR"/>
              </w:rPr>
            </w:pPr>
            <w:r w:rsidRPr="00496867">
              <w:rPr>
                <w:rFonts w:cs="Calibri"/>
                <w:b/>
                <w:bCs/>
                <w:iCs/>
                <w:color w:val="000000"/>
                <w:sz w:val="18"/>
                <w:szCs w:val="18"/>
              </w:rPr>
              <w:t>0</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52BAD3C1" w14:textId="77777777" w:rsidR="009C2470" w:rsidRPr="009C2470" w:rsidRDefault="009C2470" w:rsidP="009C2470">
            <w:pPr>
              <w:autoSpaceDE w:val="0"/>
              <w:autoSpaceDN w:val="0"/>
              <w:adjustRightInd w:val="0"/>
              <w:spacing w:after="0" w:line="240" w:lineRule="auto"/>
              <w:contextualSpacing/>
              <w:jc w:val="center"/>
              <w:rPr>
                <w:rFonts w:cs="Calibri"/>
                <w:b/>
                <w:bCs/>
                <w:iCs/>
                <w:color w:val="984806"/>
                <w:sz w:val="20"/>
                <w:szCs w:val="20"/>
                <w:lang w:val="el-GR"/>
              </w:rPr>
            </w:pPr>
            <w:r w:rsidRPr="00AD484A">
              <w:rPr>
                <w:rFonts w:cs="Calibri"/>
                <w:b/>
                <w:bCs/>
                <w:iCs/>
                <w:color w:val="984806"/>
                <w:sz w:val="20"/>
                <w:szCs w:val="20"/>
              </w:rPr>
              <w:t>5.055.000</w:t>
            </w:r>
          </w:p>
        </w:tc>
        <w:tc>
          <w:tcPr>
            <w:tcW w:w="851" w:type="dxa"/>
            <w:tcBorders>
              <w:top w:val="single" w:sz="4" w:space="0" w:color="FABF8F"/>
              <w:left w:val="single" w:sz="4" w:space="0" w:color="FABF8F"/>
              <w:bottom w:val="single" w:sz="4" w:space="0" w:color="FABF8F"/>
              <w:right w:val="single" w:sz="4" w:space="0" w:color="FABF8F"/>
            </w:tcBorders>
            <w:vAlign w:val="center"/>
          </w:tcPr>
          <w:p w14:paraId="645A81BE" w14:textId="77777777" w:rsidR="009C2470" w:rsidRPr="00496867" w:rsidRDefault="009C2470" w:rsidP="009C2470">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0,58%</w:t>
            </w:r>
          </w:p>
        </w:tc>
      </w:tr>
      <w:tr w:rsidR="009C2470" w:rsidRPr="00496867" w14:paraId="4A15988B" w14:textId="77777777" w:rsidTr="009C2470">
        <w:trPr>
          <w:jc w:val="center"/>
        </w:trPr>
        <w:tc>
          <w:tcPr>
            <w:tcW w:w="2072" w:type="dxa"/>
            <w:vMerge w:val="restart"/>
            <w:tcBorders>
              <w:top w:val="single" w:sz="8" w:space="0" w:color="FFFFFF"/>
              <w:left w:val="single" w:sz="8" w:space="0" w:color="FFFFFF"/>
              <w:right w:val="single" w:sz="24" w:space="0" w:color="FFFFFF"/>
            </w:tcBorders>
            <w:shd w:val="clear" w:color="auto" w:fill="F79646"/>
            <w:vAlign w:val="center"/>
          </w:tcPr>
          <w:p w14:paraId="77837920" w14:textId="77777777" w:rsidR="009C2470" w:rsidRPr="00496867" w:rsidRDefault="009C2470" w:rsidP="009C2470">
            <w:pPr>
              <w:keepNext/>
              <w:autoSpaceDE w:val="0"/>
              <w:autoSpaceDN w:val="0"/>
              <w:adjustRightInd w:val="0"/>
              <w:spacing w:after="0" w:line="240" w:lineRule="auto"/>
              <w:outlineLvl w:val="0"/>
              <w:rPr>
                <w:rFonts w:ascii="Times New Roman" w:hAnsi="Times New Roman" w:cs="Calibri"/>
                <w:iCs/>
                <w:color w:val="FFFFFF"/>
                <w:sz w:val="24"/>
                <w:szCs w:val="28"/>
                <w:lang w:val="el-GR"/>
              </w:rPr>
            </w:pPr>
            <w:bookmarkStart w:id="17" w:name="_Toc487547737"/>
            <w:r>
              <w:rPr>
                <w:rFonts w:cs="Calibri"/>
                <w:b/>
                <w:bCs/>
                <w:iCs/>
                <w:smallCaps/>
                <w:color w:val="FFFFFF"/>
                <w:lang w:val="el-GR"/>
              </w:rPr>
              <w:t xml:space="preserve">3. </w:t>
            </w:r>
            <w:r w:rsidRPr="00496867">
              <w:rPr>
                <w:rFonts w:cs="Calibri"/>
                <w:b/>
                <w:bCs/>
                <w:iCs/>
                <w:smallCaps/>
                <w:color w:val="FFFFFF"/>
                <w:lang w:val="el-GR"/>
              </w:rPr>
              <w:t>Προστασία και Αποδοτική Χρήση των Πόρων</w:t>
            </w:r>
            <w:bookmarkEnd w:id="17"/>
          </w:p>
        </w:tc>
        <w:tc>
          <w:tcPr>
            <w:tcW w:w="41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09CABA3D" w14:textId="77777777" w:rsidR="009C2470" w:rsidRPr="00496867" w:rsidRDefault="009C2470" w:rsidP="009C2470">
            <w:pPr>
              <w:spacing w:after="0" w:line="240" w:lineRule="auto"/>
              <w:rPr>
                <w:b/>
                <w:i/>
                <w:sz w:val="18"/>
                <w:szCs w:val="18"/>
                <w:lang w:val="el-GR"/>
              </w:rPr>
            </w:pPr>
            <w:r w:rsidRPr="00496867">
              <w:rPr>
                <w:b/>
                <w:i/>
                <w:sz w:val="18"/>
                <w:szCs w:val="18"/>
                <w:lang w:val="el-GR"/>
              </w:rPr>
              <w:t>4. Υποστήριξη της Μετάβασης σε μία Οικονομία Χαμηλών Εκπομπών Διοξειδίου του Άνθρακα σε όλους τους τομείς</w:t>
            </w:r>
          </w:p>
        </w:tc>
        <w:tc>
          <w:tcPr>
            <w:tcW w:w="1299"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1576225" w14:textId="77777777" w:rsidR="009C2470" w:rsidRPr="009C2470" w:rsidRDefault="009C2470" w:rsidP="009C2470">
            <w:pPr>
              <w:autoSpaceDE w:val="0"/>
              <w:autoSpaceDN w:val="0"/>
              <w:adjustRightInd w:val="0"/>
              <w:spacing w:after="0" w:line="240" w:lineRule="auto"/>
              <w:contextualSpacing/>
              <w:jc w:val="center"/>
              <w:rPr>
                <w:rFonts w:cs="Calibri"/>
                <w:b/>
                <w:bCs/>
                <w:iCs/>
                <w:color w:val="000000"/>
                <w:sz w:val="18"/>
                <w:szCs w:val="18"/>
                <w:lang w:val="el-GR"/>
              </w:rPr>
            </w:pPr>
            <w:r w:rsidRPr="009C2470">
              <w:rPr>
                <w:rFonts w:cs="Calibri"/>
                <w:b/>
                <w:bCs/>
                <w:iCs/>
                <w:color w:val="000000"/>
                <w:sz w:val="18"/>
                <w:szCs w:val="18"/>
                <w:lang w:val="el-GR"/>
              </w:rPr>
              <w:t>13.000.000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505CF0D2" w14:textId="77777777" w:rsidR="009C2470" w:rsidRPr="009C2470" w:rsidRDefault="009C2470" w:rsidP="009C2470">
            <w:pPr>
              <w:autoSpaceDE w:val="0"/>
              <w:autoSpaceDN w:val="0"/>
              <w:adjustRightInd w:val="0"/>
              <w:spacing w:after="0" w:line="240" w:lineRule="auto"/>
              <w:contextualSpacing/>
              <w:jc w:val="center"/>
              <w:rPr>
                <w:rFonts w:cs="Calibri"/>
                <w:b/>
                <w:bCs/>
                <w:iCs/>
                <w:color w:val="000000"/>
                <w:sz w:val="18"/>
                <w:szCs w:val="18"/>
                <w:lang w:val="el-GR"/>
              </w:rPr>
            </w:pPr>
            <w:r w:rsidRPr="009C2470">
              <w:rPr>
                <w:rFonts w:cs="Calibri"/>
                <w:b/>
                <w:bCs/>
                <w:iCs/>
                <w:color w:val="000000"/>
                <w:sz w:val="18"/>
                <w:szCs w:val="18"/>
                <w:lang w:val="el-GR"/>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188F77CA"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9C2470">
              <w:rPr>
                <w:rFonts w:cs="Calibri"/>
                <w:b/>
                <w:bCs/>
                <w:iCs/>
                <w:color w:val="000000"/>
                <w:sz w:val="18"/>
                <w:szCs w:val="18"/>
                <w:lang w:val="el-GR"/>
              </w:rPr>
              <w:t>32.000</w:t>
            </w:r>
            <w:r w:rsidRPr="00496867">
              <w:rPr>
                <w:rFonts w:cs="Calibri"/>
                <w:b/>
                <w:bCs/>
                <w:iCs/>
                <w:color w:val="000000"/>
                <w:sz w:val="18"/>
                <w:szCs w:val="18"/>
              </w:rPr>
              <w:t>.000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52F34F82"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35.122.500</w:t>
            </w:r>
          </w:p>
        </w:tc>
        <w:tc>
          <w:tcPr>
            <w:tcW w:w="1134" w:type="dxa"/>
            <w:tcBorders>
              <w:top w:val="single" w:sz="8" w:space="0" w:color="FFFFFF"/>
              <w:left w:val="single" w:sz="8" w:space="0" w:color="FFFFFF"/>
              <w:bottom w:val="single" w:sz="8" w:space="0" w:color="FFFFFF"/>
              <w:right w:val="single" w:sz="4" w:space="0" w:color="FABF8F"/>
            </w:tcBorders>
            <w:shd w:val="clear" w:color="auto" w:fill="FBCAA2"/>
            <w:vAlign w:val="center"/>
          </w:tcPr>
          <w:p w14:paraId="5B3E00DF"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lang w:val="el-GR"/>
              </w:rPr>
            </w:pPr>
            <w:r w:rsidRPr="00496867">
              <w:rPr>
                <w:rFonts w:cs="Calibri"/>
                <w:b/>
                <w:bCs/>
                <w:iCs/>
                <w:color w:val="000000"/>
                <w:sz w:val="18"/>
                <w:szCs w:val="18"/>
                <w:lang w:val="el-GR"/>
              </w:rPr>
              <w:t>470.000</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74B45243" w14:textId="77777777" w:rsidR="009C2470" w:rsidRPr="00AD484A" w:rsidRDefault="009C2470" w:rsidP="009C2470">
            <w:pPr>
              <w:autoSpaceDE w:val="0"/>
              <w:autoSpaceDN w:val="0"/>
              <w:adjustRightInd w:val="0"/>
              <w:spacing w:after="0" w:line="240" w:lineRule="auto"/>
              <w:contextualSpacing/>
              <w:jc w:val="center"/>
              <w:rPr>
                <w:rFonts w:cs="Calibri"/>
                <w:b/>
                <w:bCs/>
                <w:iCs/>
                <w:color w:val="984806"/>
                <w:sz w:val="20"/>
                <w:szCs w:val="20"/>
                <w:lang w:val="el-GR"/>
              </w:rPr>
            </w:pPr>
            <w:r w:rsidRPr="00AD484A">
              <w:rPr>
                <w:rFonts w:cs="Calibri"/>
                <w:b/>
                <w:bCs/>
                <w:iCs/>
                <w:color w:val="984806"/>
                <w:sz w:val="20"/>
                <w:szCs w:val="20"/>
                <w:lang w:val="el-GR"/>
              </w:rPr>
              <w:t>80.592.500</w:t>
            </w:r>
          </w:p>
        </w:tc>
        <w:tc>
          <w:tcPr>
            <w:tcW w:w="851" w:type="dxa"/>
            <w:tcBorders>
              <w:top w:val="single" w:sz="4" w:space="0" w:color="FABF8F"/>
              <w:left w:val="single" w:sz="4" w:space="0" w:color="FABF8F"/>
              <w:bottom w:val="single" w:sz="4" w:space="0" w:color="FABF8F"/>
              <w:right w:val="single" w:sz="4" w:space="0" w:color="FABF8F"/>
            </w:tcBorders>
            <w:vAlign w:val="center"/>
          </w:tcPr>
          <w:p w14:paraId="44C4B9B8" w14:textId="77777777" w:rsidR="009C2470" w:rsidRPr="00496867" w:rsidRDefault="009C2470" w:rsidP="009C2470">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9,22%</w:t>
            </w:r>
          </w:p>
        </w:tc>
      </w:tr>
      <w:tr w:rsidR="009C2470" w:rsidRPr="00496867" w14:paraId="2894CE2D" w14:textId="77777777" w:rsidTr="009C2470">
        <w:trPr>
          <w:jc w:val="center"/>
        </w:trPr>
        <w:tc>
          <w:tcPr>
            <w:tcW w:w="2072" w:type="dxa"/>
            <w:vMerge/>
            <w:tcBorders>
              <w:left w:val="single" w:sz="8" w:space="0" w:color="FFFFFF"/>
              <w:right w:val="single" w:sz="24" w:space="0" w:color="FFFFFF"/>
            </w:tcBorders>
            <w:shd w:val="clear" w:color="auto" w:fill="F79646"/>
            <w:vAlign w:val="center"/>
          </w:tcPr>
          <w:p w14:paraId="3989D806" w14:textId="77777777" w:rsidR="009C2470" w:rsidRPr="00496867" w:rsidRDefault="009C2470" w:rsidP="009C2470">
            <w:pPr>
              <w:autoSpaceDE w:val="0"/>
              <w:autoSpaceDN w:val="0"/>
              <w:adjustRightInd w:val="0"/>
              <w:spacing w:after="0" w:line="240" w:lineRule="auto"/>
              <w:rPr>
                <w:rFonts w:cs="Calibri"/>
                <w:b/>
                <w:bCs/>
                <w:iCs/>
                <w:color w:val="000000"/>
                <w:lang w:val="el-GR"/>
              </w:rPr>
            </w:pPr>
          </w:p>
        </w:tc>
        <w:tc>
          <w:tcPr>
            <w:tcW w:w="41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78313B9D" w14:textId="77777777" w:rsidR="009C2470" w:rsidRPr="00496867" w:rsidRDefault="009C2470" w:rsidP="009C2470">
            <w:pPr>
              <w:spacing w:after="0" w:line="240" w:lineRule="auto"/>
              <w:rPr>
                <w:b/>
                <w:i/>
                <w:sz w:val="18"/>
                <w:szCs w:val="18"/>
                <w:lang w:val="el-GR"/>
              </w:rPr>
            </w:pPr>
            <w:r w:rsidRPr="00496867">
              <w:rPr>
                <w:b/>
                <w:i/>
                <w:sz w:val="18"/>
                <w:szCs w:val="18"/>
                <w:lang w:val="el-GR"/>
              </w:rPr>
              <w:t>5. Προώθηση της Προσαρμογής στην Κλιματική Αλλαγή και της Πρόληψης των Κινδύνων</w:t>
            </w:r>
          </w:p>
        </w:tc>
        <w:tc>
          <w:tcPr>
            <w:tcW w:w="1299"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13C8E349"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1CC414B4"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295B052C"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10.000.000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23E24346"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13.072.500</w:t>
            </w:r>
          </w:p>
        </w:tc>
        <w:tc>
          <w:tcPr>
            <w:tcW w:w="1134" w:type="dxa"/>
            <w:tcBorders>
              <w:top w:val="single" w:sz="8" w:space="0" w:color="FFFFFF"/>
              <w:left w:val="single" w:sz="8" w:space="0" w:color="FFFFFF"/>
              <w:bottom w:val="single" w:sz="8" w:space="0" w:color="FFFFFF"/>
              <w:right w:val="single" w:sz="4" w:space="0" w:color="FABF8F"/>
            </w:tcBorders>
            <w:shd w:val="clear" w:color="auto" w:fill="FBCAA2"/>
            <w:vAlign w:val="center"/>
          </w:tcPr>
          <w:p w14:paraId="3A3BA98D"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1DE446E3" w14:textId="77777777" w:rsidR="009C2470" w:rsidRPr="00AD484A" w:rsidRDefault="009C2470" w:rsidP="009C2470">
            <w:pPr>
              <w:autoSpaceDE w:val="0"/>
              <w:autoSpaceDN w:val="0"/>
              <w:adjustRightInd w:val="0"/>
              <w:spacing w:after="0" w:line="240" w:lineRule="auto"/>
              <w:contextualSpacing/>
              <w:jc w:val="center"/>
              <w:rPr>
                <w:rFonts w:cs="Calibri"/>
                <w:b/>
                <w:bCs/>
                <w:iCs/>
                <w:color w:val="984806"/>
                <w:sz w:val="20"/>
                <w:szCs w:val="20"/>
              </w:rPr>
            </w:pPr>
            <w:r w:rsidRPr="00AD484A">
              <w:rPr>
                <w:rFonts w:cs="Calibri"/>
                <w:b/>
                <w:bCs/>
                <w:iCs/>
                <w:color w:val="984806"/>
                <w:sz w:val="20"/>
                <w:szCs w:val="20"/>
              </w:rPr>
              <w:t>23.072.500</w:t>
            </w:r>
          </w:p>
        </w:tc>
        <w:tc>
          <w:tcPr>
            <w:tcW w:w="851" w:type="dxa"/>
            <w:tcBorders>
              <w:top w:val="single" w:sz="4" w:space="0" w:color="FABF8F"/>
              <w:left w:val="single" w:sz="4" w:space="0" w:color="FABF8F"/>
              <w:bottom w:val="single" w:sz="4" w:space="0" w:color="FABF8F"/>
              <w:right w:val="single" w:sz="4" w:space="0" w:color="FABF8F"/>
            </w:tcBorders>
            <w:vAlign w:val="center"/>
          </w:tcPr>
          <w:p w14:paraId="598042F0" w14:textId="77777777" w:rsidR="009C2470" w:rsidRPr="00496867" w:rsidRDefault="009C2470" w:rsidP="009C2470">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2,64%</w:t>
            </w:r>
          </w:p>
        </w:tc>
      </w:tr>
      <w:tr w:rsidR="009C2470" w:rsidRPr="00496867" w14:paraId="05067CE5" w14:textId="77777777" w:rsidTr="009C2470">
        <w:trPr>
          <w:jc w:val="center"/>
        </w:trPr>
        <w:tc>
          <w:tcPr>
            <w:tcW w:w="2072" w:type="dxa"/>
            <w:vMerge/>
            <w:tcBorders>
              <w:left w:val="single" w:sz="8" w:space="0" w:color="FFFFFF"/>
              <w:bottom w:val="single" w:sz="8" w:space="0" w:color="FFFFFF"/>
              <w:right w:val="single" w:sz="24" w:space="0" w:color="FFFFFF"/>
            </w:tcBorders>
            <w:shd w:val="clear" w:color="auto" w:fill="F79646"/>
            <w:vAlign w:val="center"/>
          </w:tcPr>
          <w:p w14:paraId="6FB657C8" w14:textId="77777777" w:rsidR="009C2470" w:rsidRPr="00496867" w:rsidRDefault="009C2470" w:rsidP="009C2470">
            <w:pPr>
              <w:autoSpaceDE w:val="0"/>
              <w:autoSpaceDN w:val="0"/>
              <w:adjustRightInd w:val="0"/>
              <w:spacing w:after="0" w:line="240" w:lineRule="auto"/>
              <w:rPr>
                <w:rFonts w:cs="Calibri"/>
                <w:b/>
                <w:bCs/>
                <w:iCs/>
                <w:color w:val="000000"/>
                <w:lang w:val="el-GR"/>
              </w:rPr>
            </w:pPr>
          </w:p>
        </w:tc>
        <w:tc>
          <w:tcPr>
            <w:tcW w:w="41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1527FC7" w14:textId="77777777" w:rsidR="009C2470" w:rsidRPr="00496867" w:rsidRDefault="009C2470" w:rsidP="009C2470">
            <w:pPr>
              <w:spacing w:after="0" w:line="240" w:lineRule="auto"/>
              <w:rPr>
                <w:b/>
                <w:i/>
                <w:sz w:val="18"/>
                <w:szCs w:val="18"/>
                <w:lang w:val="el-GR"/>
              </w:rPr>
            </w:pPr>
            <w:r w:rsidRPr="00496867">
              <w:rPr>
                <w:b/>
                <w:i/>
                <w:sz w:val="18"/>
                <w:szCs w:val="18"/>
                <w:lang w:val="el-GR"/>
              </w:rPr>
              <w:t>6. Προστασία του Περιβάλλοντος και Προώθηση της Αποδοτικής Χρήσης των Πόρων</w:t>
            </w:r>
          </w:p>
        </w:tc>
        <w:tc>
          <w:tcPr>
            <w:tcW w:w="1299"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14FCD355"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30.000.000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24415C8"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9047272"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127.000.000</w:t>
            </w:r>
          </w:p>
        </w:tc>
        <w:tc>
          <w:tcPr>
            <w:tcW w:w="1276" w:type="dxa"/>
            <w:tcBorders>
              <w:top w:val="single" w:sz="8" w:space="0" w:color="FFFFFF"/>
              <w:left w:val="single" w:sz="8" w:space="0" w:color="FFFFFF"/>
              <w:bottom w:val="single" w:sz="8" w:space="0" w:color="FFFFFF"/>
              <w:right w:val="single" w:sz="8" w:space="0" w:color="FFFFFF"/>
            </w:tcBorders>
            <w:shd w:val="clear" w:color="auto" w:fill="FBCAA2"/>
            <w:vAlign w:val="center"/>
          </w:tcPr>
          <w:p w14:paraId="4AA7629E"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22.995.000</w:t>
            </w:r>
          </w:p>
        </w:tc>
        <w:tc>
          <w:tcPr>
            <w:tcW w:w="1134" w:type="dxa"/>
            <w:tcBorders>
              <w:top w:val="single" w:sz="8" w:space="0" w:color="FFFFFF"/>
              <w:left w:val="single" w:sz="8" w:space="0" w:color="FFFFFF"/>
              <w:bottom w:val="single" w:sz="8" w:space="0" w:color="FFFFFF"/>
              <w:right w:val="single" w:sz="4" w:space="0" w:color="FABF8F"/>
            </w:tcBorders>
            <w:shd w:val="clear" w:color="auto" w:fill="FBCAA2"/>
            <w:vAlign w:val="center"/>
          </w:tcPr>
          <w:p w14:paraId="127F341F"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lang w:val="el-GR"/>
              </w:rPr>
            </w:pPr>
            <w:r w:rsidRPr="00496867">
              <w:rPr>
                <w:rFonts w:cs="Calibri"/>
                <w:b/>
                <w:bCs/>
                <w:iCs/>
                <w:color w:val="000000"/>
                <w:sz w:val="18"/>
                <w:szCs w:val="18"/>
                <w:lang w:val="el-GR"/>
              </w:rPr>
              <w:t>23.404.651</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34FF523E" w14:textId="77777777" w:rsidR="009C2470" w:rsidRPr="00AD484A" w:rsidRDefault="009C2470" w:rsidP="009C2470">
            <w:pPr>
              <w:autoSpaceDE w:val="0"/>
              <w:autoSpaceDN w:val="0"/>
              <w:adjustRightInd w:val="0"/>
              <w:spacing w:after="0" w:line="240" w:lineRule="auto"/>
              <w:contextualSpacing/>
              <w:jc w:val="center"/>
              <w:rPr>
                <w:rFonts w:cs="Calibri"/>
                <w:b/>
                <w:bCs/>
                <w:iCs/>
                <w:color w:val="984806"/>
                <w:sz w:val="20"/>
                <w:szCs w:val="20"/>
                <w:lang w:val="el-GR"/>
              </w:rPr>
            </w:pPr>
            <w:r w:rsidRPr="00AD484A">
              <w:rPr>
                <w:rFonts w:cs="Calibri"/>
                <w:b/>
                <w:bCs/>
                <w:iCs/>
                <w:color w:val="984806"/>
                <w:sz w:val="20"/>
                <w:szCs w:val="20"/>
                <w:lang w:val="el-GR"/>
              </w:rPr>
              <w:t>203.399.651</w:t>
            </w:r>
          </w:p>
        </w:tc>
        <w:tc>
          <w:tcPr>
            <w:tcW w:w="851" w:type="dxa"/>
            <w:tcBorders>
              <w:top w:val="single" w:sz="4" w:space="0" w:color="FABF8F"/>
              <w:left w:val="single" w:sz="4" w:space="0" w:color="FABF8F"/>
              <w:bottom w:val="single" w:sz="4" w:space="0" w:color="FABF8F"/>
              <w:right w:val="single" w:sz="4" w:space="0" w:color="FABF8F"/>
            </w:tcBorders>
            <w:vAlign w:val="center"/>
          </w:tcPr>
          <w:p w14:paraId="4202EB37" w14:textId="77777777" w:rsidR="009C2470" w:rsidRPr="00496867" w:rsidRDefault="009C2470" w:rsidP="009C2470">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23,27%</w:t>
            </w:r>
          </w:p>
        </w:tc>
      </w:tr>
      <w:tr w:rsidR="009C2470" w:rsidRPr="00496867" w14:paraId="0F48F05C" w14:textId="77777777" w:rsidTr="009C2470">
        <w:trPr>
          <w:jc w:val="center"/>
        </w:trPr>
        <w:tc>
          <w:tcPr>
            <w:tcW w:w="2072" w:type="dxa"/>
            <w:tcBorders>
              <w:left w:val="single" w:sz="8" w:space="0" w:color="FFFFFF"/>
              <w:right w:val="single" w:sz="24" w:space="0" w:color="FFFFFF"/>
            </w:tcBorders>
            <w:shd w:val="clear" w:color="auto" w:fill="auto"/>
            <w:vAlign w:val="center"/>
          </w:tcPr>
          <w:p w14:paraId="64F1FD7C" w14:textId="77777777" w:rsidR="009C2470" w:rsidRPr="00496867" w:rsidRDefault="009C2470" w:rsidP="009C2470">
            <w:pPr>
              <w:autoSpaceDE w:val="0"/>
              <w:autoSpaceDN w:val="0"/>
              <w:adjustRightInd w:val="0"/>
              <w:spacing w:after="0" w:line="240" w:lineRule="auto"/>
              <w:rPr>
                <w:rFonts w:cs="Calibri"/>
                <w:b/>
                <w:bCs/>
                <w:iCs/>
                <w:color w:val="000000"/>
                <w:lang w:val="el-GR"/>
              </w:rPr>
            </w:pPr>
          </w:p>
        </w:tc>
        <w:tc>
          <w:tcPr>
            <w:tcW w:w="4176" w:type="dxa"/>
            <w:tcBorders>
              <w:top w:val="single" w:sz="8" w:space="0" w:color="FFFFFF"/>
              <w:left w:val="single" w:sz="8" w:space="0" w:color="FFFFFF"/>
              <w:bottom w:val="single" w:sz="4" w:space="0" w:color="FABF8F"/>
              <w:right w:val="single" w:sz="8" w:space="0" w:color="FFFFFF"/>
            </w:tcBorders>
            <w:shd w:val="clear" w:color="auto" w:fill="FBCAA2"/>
            <w:vAlign w:val="center"/>
          </w:tcPr>
          <w:p w14:paraId="329662E7" w14:textId="77777777" w:rsidR="009C2470" w:rsidRPr="00496867" w:rsidRDefault="009C2470" w:rsidP="009C2470">
            <w:pPr>
              <w:spacing w:after="0" w:line="240" w:lineRule="auto"/>
              <w:rPr>
                <w:b/>
                <w:i/>
                <w:sz w:val="18"/>
                <w:szCs w:val="18"/>
                <w:lang w:val="el-GR"/>
              </w:rPr>
            </w:pPr>
            <w:r w:rsidRPr="00496867">
              <w:rPr>
                <w:b/>
                <w:i/>
                <w:sz w:val="18"/>
                <w:szCs w:val="18"/>
                <w:lang w:val="el-GR"/>
              </w:rPr>
              <w:t>Τεχνική Βοήθεια</w:t>
            </w:r>
          </w:p>
        </w:tc>
        <w:tc>
          <w:tcPr>
            <w:tcW w:w="1299" w:type="dxa"/>
            <w:tcBorders>
              <w:top w:val="single" w:sz="8" w:space="0" w:color="FFFFFF"/>
              <w:left w:val="single" w:sz="8" w:space="0" w:color="FFFFFF"/>
              <w:bottom w:val="single" w:sz="4" w:space="0" w:color="FABF8F"/>
              <w:right w:val="single" w:sz="8" w:space="0" w:color="FFFFFF"/>
            </w:tcBorders>
            <w:shd w:val="clear" w:color="auto" w:fill="FBCAA2"/>
            <w:vAlign w:val="center"/>
          </w:tcPr>
          <w:p w14:paraId="4E5CFE20"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6.</w:t>
            </w:r>
            <w:r w:rsidRPr="00496867">
              <w:rPr>
                <w:rFonts w:cs="Calibri"/>
                <w:b/>
                <w:bCs/>
                <w:iCs/>
                <w:color w:val="000000"/>
                <w:sz w:val="18"/>
                <w:szCs w:val="18"/>
                <w:lang w:val="el-GR"/>
              </w:rPr>
              <w:t>3</w:t>
            </w:r>
            <w:r w:rsidRPr="00496867">
              <w:rPr>
                <w:rFonts w:cs="Calibri"/>
                <w:b/>
                <w:bCs/>
                <w:iCs/>
                <w:color w:val="000000"/>
                <w:sz w:val="18"/>
                <w:szCs w:val="18"/>
              </w:rPr>
              <w:t>49.018</w:t>
            </w:r>
          </w:p>
        </w:tc>
        <w:tc>
          <w:tcPr>
            <w:tcW w:w="1276" w:type="dxa"/>
            <w:tcBorders>
              <w:top w:val="single" w:sz="8" w:space="0" w:color="FFFFFF"/>
              <w:left w:val="single" w:sz="8" w:space="0" w:color="FFFFFF"/>
              <w:bottom w:val="single" w:sz="4" w:space="0" w:color="FABF8F"/>
              <w:right w:val="single" w:sz="8" w:space="0" w:color="FFFFFF"/>
            </w:tcBorders>
            <w:shd w:val="clear" w:color="auto" w:fill="FBCAA2"/>
            <w:vAlign w:val="center"/>
          </w:tcPr>
          <w:p w14:paraId="608DF308"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1.</w:t>
            </w:r>
            <w:r w:rsidRPr="00496867">
              <w:rPr>
                <w:rFonts w:cs="Calibri"/>
                <w:b/>
                <w:bCs/>
                <w:iCs/>
                <w:color w:val="000000"/>
                <w:sz w:val="18"/>
                <w:szCs w:val="18"/>
                <w:lang w:val="el-GR"/>
              </w:rPr>
              <w:t>4</w:t>
            </w:r>
            <w:r w:rsidRPr="00496867">
              <w:rPr>
                <w:rFonts w:cs="Calibri"/>
                <w:b/>
                <w:bCs/>
                <w:iCs/>
                <w:color w:val="000000"/>
                <w:sz w:val="18"/>
                <w:szCs w:val="18"/>
              </w:rPr>
              <w:t>33.887</w:t>
            </w:r>
          </w:p>
        </w:tc>
        <w:tc>
          <w:tcPr>
            <w:tcW w:w="1276" w:type="dxa"/>
            <w:tcBorders>
              <w:top w:val="single" w:sz="8" w:space="0" w:color="FFFFFF"/>
              <w:left w:val="single" w:sz="8" w:space="0" w:color="FFFFFF"/>
              <w:bottom w:val="single" w:sz="4" w:space="0" w:color="FABF8F"/>
              <w:right w:val="single" w:sz="8" w:space="0" w:color="FFFFFF"/>
            </w:tcBorders>
            <w:shd w:val="clear" w:color="auto" w:fill="FBCAA2"/>
            <w:vAlign w:val="center"/>
          </w:tcPr>
          <w:p w14:paraId="40B158D7"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15.541.702</w:t>
            </w:r>
          </w:p>
        </w:tc>
        <w:tc>
          <w:tcPr>
            <w:tcW w:w="1276" w:type="dxa"/>
            <w:tcBorders>
              <w:top w:val="single" w:sz="8" w:space="0" w:color="FFFFFF"/>
              <w:left w:val="single" w:sz="8" w:space="0" w:color="FFFFFF"/>
              <w:bottom w:val="single" w:sz="4" w:space="0" w:color="FABF8F"/>
              <w:right w:val="single" w:sz="8" w:space="0" w:color="FFFFFF"/>
            </w:tcBorders>
            <w:shd w:val="clear" w:color="auto" w:fill="FBCAA2"/>
            <w:vAlign w:val="center"/>
          </w:tcPr>
          <w:p w14:paraId="6EAA0F43"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2.268.000</w:t>
            </w:r>
          </w:p>
        </w:tc>
        <w:tc>
          <w:tcPr>
            <w:tcW w:w="1134" w:type="dxa"/>
            <w:tcBorders>
              <w:top w:val="single" w:sz="8" w:space="0" w:color="FFFFFF"/>
              <w:left w:val="single" w:sz="8" w:space="0" w:color="FFFFFF"/>
              <w:bottom w:val="single" w:sz="4" w:space="0" w:color="FABF8F"/>
              <w:right w:val="single" w:sz="4" w:space="0" w:color="FABF8F"/>
            </w:tcBorders>
            <w:shd w:val="clear" w:color="auto" w:fill="FBCAA2"/>
            <w:vAlign w:val="center"/>
          </w:tcPr>
          <w:p w14:paraId="0D187168" w14:textId="77777777" w:rsidR="009C2470" w:rsidRPr="00496867" w:rsidRDefault="009C2470" w:rsidP="009C2470">
            <w:pPr>
              <w:autoSpaceDE w:val="0"/>
              <w:autoSpaceDN w:val="0"/>
              <w:adjustRightInd w:val="0"/>
              <w:spacing w:after="0" w:line="240" w:lineRule="auto"/>
              <w:contextualSpacing/>
              <w:jc w:val="center"/>
              <w:rPr>
                <w:rFonts w:cs="Calibri"/>
                <w:b/>
                <w:bCs/>
                <w:iCs/>
                <w:color w:val="000000"/>
                <w:sz w:val="18"/>
                <w:szCs w:val="18"/>
              </w:rPr>
            </w:pPr>
            <w:r w:rsidRPr="00496867">
              <w:rPr>
                <w:rFonts w:cs="Calibri"/>
                <w:b/>
                <w:bCs/>
                <w:iCs/>
                <w:color w:val="000000"/>
                <w:sz w:val="18"/>
                <w:szCs w:val="18"/>
              </w:rPr>
              <w:t>750.000</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7DC36431" w14:textId="77777777" w:rsidR="009C2470" w:rsidRPr="00AD484A" w:rsidRDefault="009C2470" w:rsidP="009C2470">
            <w:pPr>
              <w:autoSpaceDE w:val="0"/>
              <w:autoSpaceDN w:val="0"/>
              <w:adjustRightInd w:val="0"/>
              <w:spacing w:after="0" w:line="240" w:lineRule="auto"/>
              <w:contextualSpacing/>
              <w:jc w:val="center"/>
              <w:rPr>
                <w:rFonts w:cs="Calibri"/>
                <w:b/>
                <w:bCs/>
                <w:iCs/>
                <w:color w:val="984806"/>
                <w:sz w:val="20"/>
                <w:szCs w:val="20"/>
                <w:lang w:val="el-GR"/>
              </w:rPr>
            </w:pPr>
            <w:r w:rsidRPr="00AD484A">
              <w:rPr>
                <w:rFonts w:cs="Calibri"/>
                <w:b/>
                <w:bCs/>
                <w:iCs/>
                <w:color w:val="984806"/>
                <w:sz w:val="20"/>
                <w:szCs w:val="20"/>
                <w:lang w:val="el-GR"/>
              </w:rPr>
              <w:t>26.342.607</w:t>
            </w:r>
          </w:p>
        </w:tc>
        <w:tc>
          <w:tcPr>
            <w:tcW w:w="851" w:type="dxa"/>
            <w:tcBorders>
              <w:top w:val="single" w:sz="4" w:space="0" w:color="FABF8F"/>
              <w:left w:val="single" w:sz="4" w:space="0" w:color="FABF8F"/>
              <w:bottom w:val="single" w:sz="4" w:space="0" w:color="FABF8F"/>
              <w:right w:val="single" w:sz="4" w:space="0" w:color="FABF8F"/>
            </w:tcBorders>
            <w:vAlign w:val="center"/>
          </w:tcPr>
          <w:p w14:paraId="4BE79B98" w14:textId="77777777" w:rsidR="009C2470" w:rsidRPr="00496867" w:rsidRDefault="009C2470" w:rsidP="009C2470">
            <w:pPr>
              <w:autoSpaceDE w:val="0"/>
              <w:autoSpaceDN w:val="0"/>
              <w:adjustRightInd w:val="0"/>
              <w:spacing w:after="0" w:line="240" w:lineRule="auto"/>
              <w:contextualSpacing/>
              <w:jc w:val="center"/>
              <w:rPr>
                <w:rFonts w:cs="Calibri"/>
                <w:b/>
                <w:bCs/>
                <w:iCs/>
                <w:color w:val="0D0D0D"/>
                <w:sz w:val="20"/>
                <w:szCs w:val="20"/>
                <w:lang w:val="el-GR"/>
              </w:rPr>
            </w:pPr>
            <w:r w:rsidRPr="00496867">
              <w:rPr>
                <w:rFonts w:cs="Calibri"/>
                <w:b/>
                <w:bCs/>
                <w:iCs/>
                <w:color w:val="0D0D0D"/>
                <w:sz w:val="20"/>
                <w:szCs w:val="20"/>
                <w:lang w:val="el-GR"/>
              </w:rPr>
              <w:t>3,01%</w:t>
            </w:r>
          </w:p>
        </w:tc>
      </w:tr>
      <w:tr w:rsidR="009C2470" w:rsidRPr="00496867" w14:paraId="487D207E" w14:textId="77777777" w:rsidTr="009C2470">
        <w:trPr>
          <w:jc w:val="center"/>
        </w:trPr>
        <w:tc>
          <w:tcPr>
            <w:tcW w:w="2072" w:type="dxa"/>
            <w:tcBorders>
              <w:left w:val="single" w:sz="8" w:space="0" w:color="FFFFFF"/>
              <w:bottom w:val="single" w:sz="8" w:space="0" w:color="FFFFFF"/>
              <w:right w:val="single" w:sz="4" w:space="0" w:color="FABF8F"/>
            </w:tcBorders>
            <w:shd w:val="clear" w:color="auto" w:fill="auto"/>
            <w:vAlign w:val="center"/>
          </w:tcPr>
          <w:p w14:paraId="7C39C09A" w14:textId="77777777" w:rsidR="009C2470" w:rsidRPr="00496867" w:rsidRDefault="009C2470" w:rsidP="009C2470">
            <w:pPr>
              <w:autoSpaceDE w:val="0"/>
              <w:autoSpaceDN w:val="0"/>
              <w:adjustRightInd w:val="0"/>
              <w:spacing w:after="0" w:line="240" w:lineRule="auto"/>
              <w:rPr>
                <w:rFonts w:cs="Calibri"/>
                <w:b/>
                <w:bCs/>
                <w:iCs/>
                <w:color w:val="000000"/>
                <w:lang w:val="el-GR"/>
              </w:rPr>
            </w:pPr>
          </w:p>
          <w:p w14:paraId="4E9EC337" w14:textId="77777777" w:rsidR="009C2470" w:rsidRPr="00AD484A" w:rsidRDefault="009C2470" w:rsidP="009C2470">
            <w:pPr>
              <w:spacing w:after="0" w:line="240" w:lineRule="auto"/>
              <w:rPr>
                <w:rFonts w:cs="Calibri"/>
                <w:lang w:val="el-GR"/>
              </w:rPr>
            </w:pPr>
          </w:p>
        </w:tc>
        <w:tc>
          <w:tcPr>
            <w:tcW w:w="4176" w:type="dxa"/>
            <w:tcBorders>
              <w:top w:val="single" w:sz="4" w:space="0" w:color="FABF8F"/>
              <w:left w:val="single" w:sz="4" w:space="0" w:color="FABF8F"/>
              <w:bottom w:val="single" w:sz="4" w:space="0" w:color="FABF8F"/>
              <w:right w:val="single" w:sz="4" w:space="0" w:color="FABF8F"/>
            </w:tcBorders>
            <w:shd w:val="clear" w:color="auto" w:fill="auto"/>
            <w:vAlign w:val="center"/>
          </w:tcPr>
          <w:p w14:paraId="3BB3E4C8" w14:textId="77777777" w:rsidR="009C2470" w:rsidRPr="00AD484A" w:rsidRDefault="009C2470" w:rsidP="009C2470">
            <w:pPr>
              <w:spacing w:after="0" w:line="240" w:lineRule="auto"/>
              <w:jc w:val="center"/>
              <w:rPr>
                <w:b/>
                <w:i/>
                <w:sz w:val="20"/>
                <w:szCs w:val="20"/>
                <w:lang w:val="el-GR"/>
              </w:rPr>
            </w:pPr>
            <w:r w:rsidRPr="00AD484A">
              <w:rPr>
                <w:b/>
                <w:i/>
                <w:sz w:val="20"/>
                <w:szCs w:val="20"/>
                <w:lang w:val="el-GR"/>
              </w:rPr>
              <w:t>Σύνολο</w:t>
            </w:r>
          </w:p>
        </w:tc>
        <w:tc>
          <w:tcPr>
            <w:tcW w:w="1299" w:type="dxa"/>
            <w:tcBorders>
              <w:top w:val="single" w:sz="4" w:space="0" w:color="FABF8F"/>
              <w:left w:val="single" w:sz="4" w:space="0" w:color="FABF8F"/>
              <w:bottom w:val="single" w:sz="4" w:space="0" w:color="FABF8F"/>
              <w:right w:val="single" w:sz="4" w:space="0" w:color="FABF8F"/>
            </w:tcBorders>
            <w:shd w:val="clear" w:color="auto" w:fill="auto"/>
            <w:vAlign w:val="center"/>
          </w:tcPr>
          <w:p w14:paraId="7F5C9149" w14:textId="77777777" w:rsidR="009C2470" w:rsidRPr="00AD484A" w:rsidRDefault="009C2470" w:rsidP="009C2470">
            <w:pPr>
              <w:autoSpaceDE w:val="0"/>
              <w:autoSpaceDN w:val="0"/>
              <w:adjustRightInd w:val="0"/>
              <w:spacing w:after="0" w:line="240" w:lineRule="auto"/>
              <w:contextualSpacing/>
              <w:jc w:val="center"/>
              <w:rPr>
                <w:rFonts w:cs="Calibri"/>
                <w:b/>
                <w:bCs/>
                <w:iCs/>
                <w:color w:val="984806"/>
                <w:sz w:val="20"/>
                <w:szCs w:val="20"/>
              </w:rPr>
            </w:pPr>
            <w:r w:rsidRPr="00AD484A">
              <w:rPr>
                <w:rFonts w:cs="Calibri"/>
                <w:b/>
                <w:bCs/>
                <w:iCs/>
                <w:color w:val="984806"/>
                <w:sz w:val="20"/>
                <w:szCs w:val="20"/>
              </w:rPr>
              <w:t>292.</w:t>
            </w:r>
            <w:r w:rsidRPr="00AD484A">
              <w:rPr>
                <w:rFonts w:cs="Calibri"/>
                <w:b/>
                <w:bCs/>
                <w:iCs/>
                <w:color w:val="984806"/>
                <w:sz w:val="20"/>
                <w:szCs w:val="20"/>
                <w:lang w:val="el-GR"/>
              </w:rPr>
              <w:t>0</w:t>
            </w:r>
            <w:r w:rsidRPr="00AD484A">
              <w:rPr>
                <w:rFonts w:cs="Calibri"/>
                <w:b/>
                <w:bCs/>
                <w:iCs/>
                <w:color w:val="984806"/>
                <w:sz w:val="20"/>
                <w:szCs w:val="20"/>
              </w:rPr>
              <w:t>99.018</w:t>
            </w:r>
          </w:p>
        </w:tc>
        <w:tc>
          <w:tcPr>
            <w:tcW w:w="1276" w:type="dxa"/>
            <w:tcBorders>
              <w:top w:val="single" w:sz="4" w:space="0" w:color="FABF8F"/>
              <w:left w:val="single" w:sz="4" w:space="0" w:color="FABF8F"/>
              <w:bottom w:val="single" w:sz="4" w:space="0" w:color="FABF8F"/>
              <w:right w:val="single" w:sz="4" w:space="0" w:color="FABF8F"/>
            </w:tcBorders>
            <w:shd w:val="clear" w:color="auto" w:fill="auto"/>
            <w:vAlign w:val="center"/>
          </w:tcPr>
          <w:p w14:paraId="1D3EAC69" w14:textId="77777777" w:rsidR="009C2470" w:rsidRPr="00AD484A" w:rsidRDefault="009C2470" w:rsidP="009C2470">
            <w:pPr>
              <w:autoSpaceDE w:val="0"/>
              <w:autoSpaceDN w:val="0"/>
              <w:adjustRightInd w:val="0"/>
              <w:spacing w:after="0" w:line="240" w:lineRule="auto"/>
              <w:contextualSpacing/>
              <w:jc w:val="center"/>
              <w:rPr>
                <w:rFonts w:cs="Calibri"/>
                <w:b/>
                <w:bCs/>
                <w:iCs/>
                <w:color w:val="984806"/>
                <w:sz w:val="20"/>
                <w:szCs w:val="20"/>
                <w:lang w:val="el-GR"/>
              </w:rPr>
            </w:pPr>
            <w:r w:rsidRPr="00AD484A">
              <w:rPr>
                <w:rFonts w:cs="Calibri"/>
                <w:b/>
                <w:bCs/>
                <w:iCs/>
                <w:color w:val="984806"/>
                <w:sz w:val="20"/>
                <w:szCs w:val="20"/>
                <w:lang w:val="el-GR"/>
              </w:rPr>
              <w:t>140.560.988</w:t>
            </w:r>
          </w:p>
        </w:tc>
        <w:tc>
          <w:tcPr>
            <w:tcW w:w="1276" w:type="dxa"/>
            <w:tcBorders>
              <w:top w:val="single" w:sz="4" w:space="0" w:color="FABF8F"/>
              <w:left w:val="single" w:sz="4" w:space="0" w:color="FABF8F"/>
              <w:bottom w:val="single" w:sz="4" w:space="0" w:color="FABF8F"/>
              <w:right w:val="single" w:sz="4" w:space="0" w:color="FABF8F"/>
            </w:tcBorders>
            <w:shd w:val="clear" w:color="auto" w:fill="auto"/>
            <w:vAlign w:val="center"/>
          </w:tcPr>
          <w:p w14:paraId="0868FA9C" w14:textId="77777777" w:rsidR="009C2470" w:rsidRPr="00AD484A" w:rsidRDefault="009C2470" w:rsidP="009C2470">
            <w:pPr>
              <w:autoSpaceDE w:val="0"/>
              <w:autoSpaceDN w:val="0"/>
              <w:adjustRightInd w:val="0"/>
              <w:spacing w:after="0" w:line="240" w:lineRule="auto"/>
              <w:contextualSpacing/>
              <w:jc w:val="center"/>
              <w:rPr>
                <w:rFonts w:cs="Calibri"/>
                <w:b/>
                <w:bCs/>
                <w:iCs/>
                <w:color w:val="984806"/>
                <w:sz w:val="20"/>
                <w:szCs w:val="20"/>
              </w:rPr>
            </w:pPr>
            <w:r w:rsidRPr="00AD484A">
              <w:rPr>
                <w:rFonts w:cs="Calibri"/>
                <w:b/>
                <w:bCs/>
                <w:iCs/>
                <w:color w:val="984806"/>
                <w:sz w:val="20"/>
                <w:szCs w:val="20"/>
              </w:rPr>
              <w:t>269.541.702</w:t>
            </w:r>
          </w:p>
        </w:tc>
        <w:tc>
          <w:tcPr>
            <w:tcW w:w="1276" w:type="dxa"/>
            <w:tcBorders>
              <w:top w:val="single" w:sz="4" w:space="0" w:color="FABF8F"/>
              <w:left w:val="single" w:sz="4" w:space="0" w:color="FABF8F"/>
              <w:bottom w:val="single" w:sz="4" w:space="0" w:color="FABF8F"/>
              <w:right w:val="single" w:sz="4" w:space="0" w:color="FABF8F"/>
            </w:tcBorders>
            <w:shd w:val="clear" w:color="auto" w:fill="auto"/>
            <w:vAlign w:val="center"/>
          </w:tcPr>
          <w:p w14:paraId="3E62EA92" w14:textId="77777777" w:rsidR="009C2470" w:rsidRPr="00AD484A" w:rsidRDefault="009C2470" w:rsidP="009C2470">
            <w:pPr>
              <w:autoSpaceDE w:val="0"/>
              <w:autoSpaceDN w:val="0"/>
              <w:adjustRightInd w:val="0"/>
              <w:spacing w:after="0" w:line="240" w:lineRule="auto"/>
              <w:contextualSpacing/>
              <w:jc w:val="center"/>
              <w:rPr>
                <w:rFonts w:cs="Calibri"/>
                <w:b/>
                <w:bCs/>
                <w:iCs/>
                <w:color w:val="984806"/>
                <w:sz w:val="20"/>
                <w:szCs w:val="20"/>
                <w:lang w:val="el-GR"/>
              </w:rPr>
            </w:pPr>
            <w:r w:rsidRPr="00AD484A">
              <w:rPr>
                <w:rFonts w:cs="Calibri"/>
                <w:b/>
                <w:bCs/>
                <w:iCs/>
                <w:color w:val="984806"/>
                <w:sz w:val="20"/>
                <w:szCs w:val="20"/>
              </w:rPr>
              <w:t>132.</w:t>
            </w:r>
            <w:r w:rsidRPr="00AD484A">
              <w:rPr>
                <w:rFonts w:cs="Calibri"/>
                <w:b/>
                <w:bCs/>
                <w:iCs/>
                <w:color w:val="984806"/>
                <w:sz w:val="20"/>
                <w:szCs w:val="20"/>
                <w:lang w:val="el-GR"/>
              </w:rPr>
              <w:t>214.377</w:t>
            </w:r>
          </w:p>
        </w:tc>
        <w:tc>
          <w:tcPr>
            <w:tcW w:w="1134" w:type="dxa"/>
            <w:tcBorders>
              <w:top w:val="single" w:sz="4" w:space="0" w:color="FABF8F"/>
              <w:left w:val="single" w:sz="4" w:space="0" w:color="FABF8F"/>
              <w:bottom w:val="single" w:sz="4" w:space="0" w:color="FABF8F"/>
              <w:right w:val="single" w:sz="4" w:space="0" w:color="FABF8F"/>
            </w:tcBorders>
            <w:shd w:val="clear" w:color="auto" w:fill="auto"/>
            <w:vAlign w:val="center"/>
          </w:tcPr>
          <w:p w14:paraId="73CDA9D8" w14:textId="77777777" w:rsidR="009C2470" w:rsidRPr="00AD484A" w:rsidRDefault="009C2470" w:rsidP="009C2470">
            <w:pPr>
              <w:autoSpaceDE w:val="0"/>
              <w:autoSpaceDN w:val="0"/>
              <w:adjustRightInd w:val="0"/>
              <w:spacing w:after="0" w:line="240" w:lineRule="auto"/>
              <w:contextualSpacing/>
              <w:jc w:val="center"/>
              <w:rPr>
                <w:rFonts w:cs="Calibri"/>
                <w:b/>
                <w:bCs/>
                <w:iCs/>
                <w:color w:val="984806"/>
                <w:sz w:val="20"/>
                <w:szCs w:val="20"/>
                <w:lang w:val="el-GR"/>
              </w:rPr>
            </w:pPr>
            <w:r w:rsidRPr="00AD484A">
              <w:rPr>
                <w:rFonts w:cs="Calibri"/>
                <w:b/>
                <w:bCs/>
                <w:iCs/>
                <w:color w:val="984806"/>
                <w:sz w:val="20"/>
                <w:szCs w:val="20"/>
                <w:lang w:val="el-GR"/>
              </w:rPr>
              <w:t>39.715.209</w:t>
            </w:r>
          </w:p>
        </w:tc>
        <w:tc>
          <w:tcPr>
            <w:tcW w:w="1275" w:type="dxa"/>
            <w:tcBorders>
              <w:top w:val="single" w:sz="4" w:space="0" w:color="FABF8F"/>
              <w:left w:val="single" w:sz="4" w:space="0" w:color="FABF8F"/>
              <w:bottom w:val="single" w:sz="4" w:space="0" w:color="FABF8F"/>
              <w:right w:val="single" w:sz="4" w:space="0" w:color="FABF8F"/>
            </w:tcBorders>
            <w:shd w:val="clear" w:color="auto" w:fill="auto"/>
            <w:vAlign w:val="center"/>
          </w:tcPr>
          <w:p w14:paraId="33F9B643" w14:textId="77777777" w:rsidR="009C2470" w:rsidRPr="00AD484A" w:rsidRDefault="009C2470" w:rsidP="009C2470">
            <w:pPr>
              <w:autoSpaceDE w:val="0"/>
              <w:autoSpaceDN w:val="0"/>
              <w:adjustRightInd w:val="0"/>
              <w:spacing w:after="0" w:line="240" w:lineRule="auto"/>
              <w:contextualSpacing/>
              <w:jc w:val="center"/>
              <w:rPr>
                <w:rFonts w:cs="Calibri"/>
                <w:b/>
                <w:bCs/>
                <w:iCs/>
                <w:color w:val="984806"/>
                <w:sz w:val="20"/>
                <w:szCs w:val="20"/>
                <w:lang w:val="el-GR"/>
              </w:rPr>
            </w:pPr>
            <w:r w:rsidRPr="00AD484A">
              <w:rPr>
                <w:rFonts w:cs="Calibri"/>
                <w:b/>
                <w:bCs/>
                <w:iCs/>
                <w:color w:val="984806"/>
                <w:sz w:val="20"/>
                <w:szCs w:val="20"/>
                <w:lang w:val="el-GR"/>
              </w:rPr>
              <w:t>874.131.294</w:t>
            </w:r>
          </w:p>
        </w:tc>
        <w:tc>
          <w:tcPr>
            <w:tcW w:w="851" w:type="dxa"/>
            <w:tcBorders>
              <w:top w:val="single" w:sz="4" w:space="0" w:color="FABF8F"/>
              <w:left w:val="single" w:sz="4" w:space="0" w:color="FABF8F"/>
              <w:bottom w:val="single" w:sz="4" w:space="0" w:color="FABF8F"/>
              <w:right w:val="single" w:sz="4" w:space="0" w:color="FABF8F"/>
            </w:tcBorders>
            <w:vAlign w:val="center"/>
          </w:tcPr>
          <w:p w14:paraId="0DD1E64F" w14:textId="77777777" w:rsidR="009C2470" w:rsidRPr="00AD484A" w:rsidRDefault="009C2470" w:rsidP="009C2470">
            <w:pPr>
              <w:autoSpaceDE w:val="0"/>
              <w:autoSpaceDN w:val="0"/>
              <w:adjustRightInd w:val="0"/>
              <w:spacing w:after="0" w:line="240" w:lineRule="auto"/>
              <w:contextualSpacing/>
              <w:jc w:val="center"/>
              <w:rPr>
                <w:rFonts w:cs="Calibri"/>
                <w:b/>
                <w:bCs/>
                <w:iCs/>
                <w:color w:val="984806"/>
                <w:sz w:val="20"/>
                <w:szCs w:val="20"/>
                <w:lang w:val="el-GR"/>
              </w:rPr>
            </w:pPr>
            <w:r w:rsidRPr="00AD484A">
              <w:rPr>
                <w:rFonts w:cs="Calibri"/>
                <w:b/>
                <w:bCs/>
                <w:iCs/>
                <w:color w:val="984806"/>
                <w:sz w:val="20"/>
                <w:szCs w:val="20"/>
                <w:lang w:val="el-GR"/>
              </w:rPr>
              <w:t>100%</w:t>
            </w:r>
          </w:p>
        </w:tc>
      </w:tr>
    </w:tbl>
    <w:p w14:paraId="035459AB" w14:textId="77777777" w:rsidR="00496867" w:rsidRPr="00496867" w:rsidRDefault="00496867" w:rsidP="00496867">
      <w:pPr>
        <w:jc w:val="both"/>
        <w:rPr>
          <w:rFonts w:cs="Calibri"/>
          <w:b/>
          <w:iCs/>
          <w:color w:val="000000"/>
          <w:u w:val="single"/>
          <w:lang w:val="el-GR"/>
        </w:rPr>
      </w:pPr>
    </w:p>
    <w:p w14:paraId="5600AB12" w14:textId="77777777" w:rsidR="00496867" w:rsidRPr="00496867" w:rsidRDefault="00496867" w:rsidP="00496867">
      <w:pPr>
        <w:jc w:val="both"/>
        <w:rPr>
          <w:rFonts w:cs="Calibri"/>
          <w:b/>
          <w:iCs/>
          <w:color w:val="000000"/>
          <w:highlight w:val="green"/>
          <w:lang w:val="el-GR"/>
        </w:rPr>
        <w:sectPr w:rsidR="00496867" w:rsidRPr="00496867" w:rsidSect="00392E71">
          <w:footerReference w:type="default" r:id="rId15"/>
          <w:pgSz w:w="15840" w:h="12240" w:orient="landscape" w:code="1"/>
          <w:pgMar w:top="1134" w:right="1418" w:bottom="1134" w:left="1418" w:header="454" w:footer="454" w:gutter="0"/>
          <w:cols w:space="708"/>
          <w:docGrid w:linePitch="360"/>
        </w:sectPr>
      </w:pPr>
    </w:p>
    <w:p w14:paraId="72AFA2FC" w14:textId="77777777" w:rsidR="00496867" w:rsidRPr="00496867" w:rsidRDefault="00496867" w:rsidP="00496867">
      <w:pPr>
        <w:jc w:val="both"/>
        <w:rPr>
          <w:rFonts w:cs="Calibri"/>
          <w:iCs/>
          <w:color w:val="000000"/>
          <w:lang w:val="el-GR"/>
        </w:rPr>
      </w:pPr>
      <w:r w:rsidRPr="00D3401D">
        <w:rPr>
          <w:rFonts w:cs="Calibri"/>
          <w:iCs/>
          <w:color w:val="000000"/>
          <w:lang w:val="el-GR"/>
        </w:rPr>
        <w:lastRenderedPageBreak/>
        <w:t xml:space="preserve">Τα </w:t>
      </w:r>
      <w:r w:rsidRPr="00D3401D">
        <w:rPr>
          <w:rFonts w:cs="Calibri"/>
          <w:b/>
          <w:iCs/>
          <w:color w:val="000000"/>
          <w:lang w:val="el-GR"/>
        </w:rPr>
        <w:t>ΕΔΕΤ αντιμετωπίζουν ευρύτερα διαρθρωτικά εμπόδια για την ανάπτυξη και την ανταγωνιστικότητα της Κύπρου</w:t>
      </w:r>
      <w:r w:rsidRPr="00D3401D">
        <w:rPr>
          <w:rFonts w:cs="Calibri"/>
          <w:iCs/>
          <w:color w:val="000000"/>
          <w:lang w:val="el-GR"/>
        </w:rPr>
        <w:t xml:space="preserve">, μέσω των στόχων που περιλαμβάνονται στο πλαίσιο επιδόσεων του κάθε Ταμείου, στοχευμένων επενδύσεων και των εκ των προτέρων αιρεσιμοτήτων. Το 2015 και το 2016 τα </w:t>
      </w:r>
      <w:r w:rsidRPr="00D3401D">
        <w:rPr>
          <w:rFonts w:cs="Calibri"/>
          <w:b/>
          <w:iCs/>
          <w:color w:val="000000"/>
          <w:lang w:val="el-GR"/>
        </w:rPr>
        <w:t>ΕΔΕΤ συνέβαλλαν στην προώθηση ορισμένων διαρθρωτικών μεταρρυθμίσεων</w:t>
      </w:r>
      <w:r w:rsidRPr="00D3401D">
        <w:rPr>
          <w:rFonts w:cs="Calibri"/>
          <w:iCs/>
          <w:color w:val="000000"/>
          <w:lang w:val="el-GR"/>
        </w:rPr>
        <w:t xml:space="preserve">, απαντώντας στις αναπτυξιακές ανάγκες της χώρας. Ως </w:t>
      </w:r>
      <w:r w:rsidRPr="00D3401D">
        <w:rPr>
          <w:rFonts w:cs="Calibri"/>
          <w:b/>
          <w:iCs/>
          <w:color w:val="000000"/>
          <w:lang w:val="el-GR"/>
        </w:rPr>
        <w:t xml:space="preserve">παραδείγματα </w:t>
      </w:r>
      <w:r w:rsidRPr="00D3401D">
        <w:rPr>
          <w:rFonts w:cs="Calibri"/>
          <w:iCs/>
          <w:color w:val="000000"/>
          <w:lang w:val="el-GR"/>
        </w:rPr>
        <w:t xml:space="preserve">μπορούν να αναφερθούν η ενίσχυση της ανταγωνιστικότητας και της καινοτομίας, η προώθηση της ψηφιακής στρατηγικής της Κύπρου, η βελτίωση των οικοσυστημάτων και της βιοποικιλότητας, η υποστήριξη της μετάβασης προς μία οικονομία χαμηλών εκπομπών άνθρακα, η μείωση της ανεργίας των νέων, η ενθάρρυνση της ενεργού ένταξης και επαγγελματικής εκπαίδευσης και κατάρτισης. Πιο συγκεκριμένα, η </w:t>
      </w:r>
      <w:r w:rsidRPr="00D3401D">
        <w:rPr>
          <w:rFonts w:cs="Calibri"/>
          <w:b/>
          <w:iCs/>
          <w:color w:val="000000"/>
          <w:lang w:val="el-GR"/>
        </w:rPr>
        <w:t>συμβολή των ΕΔΕΤ στην αντιμετώπιση των αναπτυξιακών αναγκών</w:t>
      </w:r>
      <w:r w:rsidRPr="00D3401D">
        <w:rPr>
          <w:rFonts w:cs="Calibri"/>
          <w:iCs/>
          <w:color w:val="000000"/>
          <w:lang w:val="el-GR"/>
        </w:rPr>
        <w:t xml:space="preserve"> της Κυπριακής οικονομίας </w:t>
      </w:r>
      <w:r w:rsidRPr="00D3401D">
        <w:rPr>
          <w:rFonts w:cs="Calibri"/>
          <w:b/>
          <w:iCs/>
          <w:color w:val="000000"/>
          <w:lang w:val="el-GR"/>
        </w:rPr>
        <w:t>αναλύεται</w:t>
      </w:r>
      <w:r w:rsidRPr="00D3401D">
        <w:rPr>
          <w:rFonts w:cs="Calibri"/>
          <w:iCs/>
          <w:color w:val="000000"/>
          <w:lang w:val="el-GR"/>
        </w:rPr>
        <w:t xml:space="preserve"> </w:t>
      </w:r>
      <w:r w:rsidRPr="00D3401D">
        <w:rPr>
          <w:rFonts w:cs="Calibri"/>
          <w:b/>
          <w:iCs/>
          <w:color w:val="000000"/>
          <w:lang w:val="el-GR"/>
        </w:rPr>
        <w:t xml:space="preserve">ανά Προτεραιότητα Χρηματοδότησης, Θεματικό Στόχο και Ταμείο, </w:t>
      </w:r>
      <w:r w:rsidRPr="00D3401D">
        <w:rPr>
          <w:rFonts w:cs="Calibri"/>
          <w:iCs/>
          <w:color w:val="000000"/>
          <w:lang w:val="el-GR"/>
        </w:rPr>
        <w:t>ως ακολούθως:</w:t>
      </w:r>
    </w:p>
    <w:p w14:paraId="570C9F66" w14:textId="77777777" w:rsidR="00496867" w:rsidRPr="00496867" w:rsidRDefault="00496867" w:rsidP="001D583B">
      <w:pPr>
        <w:numPr>
          <w:ilvl w:val="0"/>
          <w:numId w:val="14"/>
        </w:numPr>
        <w:ind w:left="426" w:hanging="426"/>
        <w:jc w:val="both"/>
        <w:rPr>
          <w:rFonts w:cs="Calibri"/>
          <w:b/>
          <w:iCs/>
          <w:color w:val="000000"/>
          <w:u w:val="single"/>
          <w:lang w:val="el-GR"/>
        </w:rPr>
      </w:pPr>
      <w:r w:rsidRPr="00496867">
        <w:rPr>
          <w:rFonts w:cs="Calibri"/>
          <w:b/>
          <w:iCs/>
          <w:color w:val="000000"/>
          <w:u w:val="single"/>
          <w:lang w:val="el-GR"/>
        </w:rPr>
        <w:t>Υποστήριξη της Αναδιάρθρωσης και Ενίσχυση της Ανταγωνιστικότητας της Κυπριακής Οικονομίας (Θ.Σ. 1, 2, 3, 7 &amp; 11)</w:t>
      </w:r>
    </w:p>
    <w:p w14:paraId="1A4BDDA7" w14:textId="77777777" w:rsidR="00496867" w:rsidRPr="00496867" w:rsidRDefault="00496867" w:rsidP="00496867">
      <w:pPr>
        <w:ind w:left="284"/>
        <w:jc w:val="both"/>
        <w:rPr>
          <w:rFonts w:cs="Calibri"/>
          <w:iCs/>
          <w:color w:val="000000"/>
          <w:lang w:val="el-GR"/>
        </w:rPr>
      </w:pPr>
      <w:r w:rsidRPr="00496867">
        <w:rPr>
          <w:rFonts w:cs="Calibri"/>
          <w:iCs/>
          <w:color w:val="000000"/>
          <w:lang w:val="el-GR"/>
        </w:rPr>
        <w:t xml:space="preserve">Η </w:t>
      </w:r>
      <w:r w:rsidRPr="00496867">
        <w:rPr>
          <w:rFonts w:cs="Calibri"/>
          <w:b/>
          <w:iCs/>
          <w:color w:val="000000"/>
          <w:lang w:val="el-GR"/>
        </w:rPr>
        <w:t>βελτίωση του επιχειρηματικού κλίματος και του επιχειρησιακού περιβάλλοντος</w:t>
      </w:r>
      <w:r w:rsidRPr="00496867">
        <w:rPr>
          <w:rFonts w:cs="Calibri"/>
          <w:iCs/>
          <w:color w:val="000000"/>
          <w:lang w:val="el-GR"/>
        </w:rPr>
        <w:t xml:space="preserve"> αποτελεί κύρια προϋπόθεση για την ενίσχυση της ανταγωνιστικότητας της Κυπριακής οικονομίας. Προς τούτο, οι παρεμβάσεις που προωθούνται αφορούν τόσο το εσωτερικό (πόροι, ικανότητες) όσο και το εξωτερικό (χρηματοδότηση, υποδομές, λειτουργία δημόσιου τομέα) οικονομικό περιβάλλον των οικονομικών μονάδων.</w:t>
      </w:r>
    </w:p>
    <w:p w14:paraId="6B832216" w14:textId="77777777" w:rsidR="00496867" w:rsidRPr="00496867" w:rsidRDefault="00496867" w:rsidP="00E94E09">
      <w:pPr>
        <w:numPr>
          <w:ilvl w:val="0"/>
          <w:numId w:val="15"/>
        </w:numPr>
        <w:ind w:left="709" w:hanging="283"/>
        <w:jc w:val="both"/>
        <w:rPr>
          <w:rFonts w:cs="Calibri"/>
          <w:b/>
          <w:i/>
          <w:iCs/>
          <w:color w:val="000000"/>
          <w:u w:val="single"/>
          <w:lang w:val="el-GR"/>
        </w:rPr>
      </w:pPr>
      <w:r w:rsidRPr="00496867">
        <w:rPr>
          <w:rFonts w:cs="Calibri"/>
          <w:b/>
          <w:i/>
          <w:iCs/>
          <w:color w:val="000000"/>
          <w:u w:val="single"/>
          <w:lang w:val="el-GR"/>
        </w:rPr>
        <w:t>Ενίσχυση της Ανταγωνιστικότητας της Οικονομίας (Θ.Σ. 1, 2 &amp; 3)</w:t>
      </w:r>
    </w:p>
    <w:p w14:paraId="20BF9EB4" w14:textId="77777777"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Η υποστήριξη της ανταγωνιστικότητας της Κυπριακής οικονομίας αποτελεί κεντρικό στόχο της ΣΕΣ, που εξυπηρετείται περίπου από το </w:t>
      </w:r>
      <w:r w:rsidRPr="00496867">
        <w:rPr>
          <w:rFonts w:cs="Calibri"/>
          <w:b/>
          <w:iCs/>
          <w:color w:val="000000"/>
          <w:lang w:val="el-GR"/>
        </w:rPr>
        <w:t>30% των πόρων</w:t>
      </w:r>
      <w:r w:rsidRPr="00496867">
        <w:rPr>
          <w:rFonts w:cs="Calibri"/>
          <w:iCs/>
          <w:color w:val="000000"/>
          <w:lang w:val="el-GR"/>
        </w:rPr>
        <w:t xml:space="preserve"> που διατίθενται κατά τη νέα προγραμματική περίοδο στους </w:t>
      </w:r>
      <w:r w:rsidRPr="00496867">
        <w:rPr>
          <w:rFonts w:cs="Calibri"/>
          <w:b/>
          <w:iCs/>
          <w:color w:val="000000"/>
          <w:lang w:val="el-GR"/>
        </w:rPr>
        <w:t>Θ.Σ. 1, 2 &amp; 3</w:t>
      </w:r>
      <w:r w:rsidRPr="00496867">
        <w:rPr>
          <w:rFonts w:cs="Calibri"/>
          <w:iCs/>
          <w:color w:val="000000"/>
          <w:lang w:val="el-GR"/>
        </w:rPr>
        <w:t xml:space="preserve"> </w:t>
      </w:r>
      <w:r w:rsidRPr="00496867">
        <w:rPr>
          <w:rFonts w:cs="Calibri"/>
          <w:b/>
          <w:iCs/>
          <w:color w:val="000000"/>
          <w:lang w:val="el-GR"/>
        </w:rPr>
        <w:t>μέσω των ΕΔΕΤ</w:t>
      </w:r>
      <w:r w:rsidRPr="00496867">
        <w:rPr>
          <w:rFonts w:cs="Calibri"/>
          <w:iCs/>
          <w:color w:val="000000"/>
          <w:lang w:val="el-GR"/>
        </w:rPr>
        <w:t>, κυρίως μέσω του ΕΤΠΑ (81,49%) και δευτερευόντως μέσω του ΕΓΤΑΑ (14,76%) και του ΕΤΘΑ (3,76%). Είναι χαρακτηριστικό ότι το 73,10% των συνολικών  πόρων του ΕΤΠΑ αφιερώνεται στους τρεις παραπάνω Θεματικούς Στόχους. Η διολίσθηση της Κυπριακής οικονομίας στον Παγκόσμιο Δείκτη Ανταγωνιστικότητας</w:t>
      </w:r>
      <w:r w:rsidRPr="00496867">
        <w:rPr>
          <w:rFonts w:cs="Calibri"/>
          <w:iCs/>
          <w:color w:val="000000"/>
          <w:vertAlign w:val="superscript"/>
          <w:lang w:val="el-GR"/>
        </w:rPr>
        <w:footnoteReference w:id="12"/>
      </w:r>
      <w:r w:rsidRPr="00496867">
        <w:rPr>
          <w:rFonts w:cs="Calibri"/>
          <w:iCs/>
          <w:color w:val="000000"/>
          <w:lang w:val="el-GR"/>
        </w:rPr>
        <w:t xml:space="preserve"> </w:t>
      </w:r>
      <w:r w:rsidRPr="00496867">
        <w:rPr>
          <w:rFonts w:cs="Calibri"/>
          <w:b/>
          <w:iCs/>
          <w:color w:val="000000"/>
          <w:lang w:val="el-GR"/>
        </w:rPr>
        <w:t>καταδεικνύει το γεγονός ότι η ενίσχυση της ανταγωνιστικότητάς της εξαρτάται από την επιτυχή αντιμετώπιση προκλήσεων</w:t>
      </w:r>
      <w:r w:rsidRPr="00496867">
        <w:rPr>
          <w:rFonts w:cs="Calibri"/>
          <w:iCs/>
          <w:color w:val="000000"/>
          <w:lang w:val="el-GR"/>
        </w:rPr>
        <w:t xml:space="preserve"> όπως: </w:t>
      </w:r>
    </w:p>
    <w:p w14:paraId="72382AD7" w14:textId="77777777" w:rsidR="00496867" w:rsidRPr="00496867" w:rsidRDefault="00496867" w:rsidP="00E94E09">
      <w:pPr>
        <w:numPr>
          <w:ilvl w:val="0"/>
          <w:numId w:val="16"/>
        </w:numPr>
        <w:spacing w:after="120"/>
        <w:ind w:left="1208" w:hanging="357"/>
        <w:jc w:val="both"/>
        <w:rPr>
          <w:rFonts w:cs="Calibri"/>
          <w:iCs/>
          <w:color w:val="000000"/>
          <w:lang w:val="el-GR"/>
        </w:rPr>
      </w:pPr>
      <w:r w:rsidRPr="00496867">
        <w:rPr>
          <w:rFonts w:cs="Calibri"/>
          <w:iCs/>
          <w:color w:val="000000"/>
          <w:lang w:val="el-GR"/>
        </w:rPr>
        <w:t xml:space="preserve">η ανάγκη ενίσχυσης των κλάδων υψηλής προστιθέμενης αξίας, </w:t>
      </w:r>
    </w:p>
    <w:p w14:paraId="6FD076EF" w14:textId="77777777" w:rsidR="00496867" w:rsidRPr="00496867" w:rsidRDefault="00496867" w:rsidP="00E94E09">
      <w:pPr>
        <w:numPr>
          <w:ilvl w:val="0"/>
          <w:numId w:val="16"/>
        </w:numPr>
        <w:spacing w:after="120"/>
        <w:ind w:left="1208" w:hanging="357"/>
        <w:jc w:val="both"/>
        <w:rPr>
          <w:rFonts w:cs="Calibri"/>
          <w:iCs/>
          <w:color w:val="000000"/>
          <w:lang w:val="el-GR"/>
        </w:rPr>
      </w:pPr>
      <w:r w:rsidRPr="00496867">
        <w:rPr>
          <w:rFonts w:cs="Calibri"/>
          <w:iCs/>
          <w:color w:val="000000"/>
          <w:lang w:val="el-GR"/>
        </w:rPr>
        <w:t xml:space="preserve">η μείωση του κόστους παραγωγής των επιχειρήσεων, </w:t>
      </w:r>
    </w:p>
    <w:p w14:paraId="2B6FA058" w14:textId="77777777" w:rsidR="00496867" w:rsidRPr="00496867" w:rsidRDefault="00496867" w:rsidP="00E94E09">
      <w:pPr>
        <w:numPr>
          <w:ilvl w:val="0"/>
          <w:numId w:val="16"/>
        </w:numPr>
        <w:spacing w:after="120"/>
        <w:ind w:left="1208" w:hanging="357"/>
        <w:jc w:val="both"/>
        <w:rPr>
          <w:rFonts w:cs="Calibri"/>
          <w:iCs/>
          <w:color w:val="000000"/>
          <w:lang w:val="el-GR"/>
        </w:rPr>
      </w:pPr>
      <w:r w:rsidRPr="00496867">
        <w:rPr>
          <w:rFonts w:cs="Calibri"/>
          <w:iCs/>
          <w:color w:val="000000"/>
          <w:lang w:val="el-GR"/>
        </w:rPr>
        <w:t xml:space="preserve">η ενίσχυση της γνώσης και διάχυσης της καινοτομίας, </w:t>
      </w:r>
    </w:p>
    <w:p w14:paraId="74670AA2" w14:textId="77777777" w:rsidR="00496867" w:rsidRPr="00496867" w:rsidRDefault="00496867" w:rsidP="00E94E09">
      <w:pPr>
        <w:numPr>
          <w:ilvl w:val="0"/>
          <w:numId w:val="16"/>
        </w:numPr>
        <w:spacing w:after="120"/>
        <w:ind w:left="1208" w:hanging="357"/>
        <w:jc w:val="both"/>
        <w:rPr>
          <w:rFonts w:cs="Calibri"/>
          <w:iCs/>
          <w:color w:val="000000"/>
          <w:lang w:val="el-GR"/>
        </w:rPr>
      </w:pPr>
      <w:r w:rsidRPr="00496867">
        <w:rPr>
          <w:rFonts w:cs="Calibri"/>
          <w:iCs/>
          <w:color w:val="000000"/>
          <w:lang w:val="el-GR"/>
        </w:rPr>
        <w:t xml:space="preserve">η αύξηση της χρήσης ΤΠΕ από τις επιχειρήσεις, </w:t>
      </w:r>
    </w:p>
    <w:p w14:paraId="300FF1AC" w14:textId="77777777" w:rsidR="00496867" w:rsidRPr="00496867" w:rsidRDefault="00496867" w:rsidP="00E94E09">
      <w:pPr>
        <w:numPr>
          <w:ilvl w:val="0"/>
          <w:numId w:val="16"/>
        </w:numPr>
        <w:spacing w:after="120"/>
        <w:jc w:val="both"/>
        <w:rPr>
          <w:rFonts w:cs="Calibri"/>
          <w:iCs/>
          <w:color w:val="000000"/>
          <w:lang w:val="el-GR"/>
        </w:rPr>
      </w:pPr>
      <w:r w:rsidRPr="00496867">
        <w:rPr>
          <w:rFonts w:cs="Calibri"/>
          <w:iCs/>
          <w:color w:val="000000"/>
          <w:lang w:val="el-GR"/>
        </w:rPr>
        <w:t>το χαμηλό επιπέδου επενδύσεων σε Ε&amp;Α και</w:t>
      </w:r>
    </w:p>
    <w:p w14:paraId="6EB72108" w14:textId="2DCF372D" w:rsidR="00496867" w:rsidRPr="00496867" w:rsidRDefault="00496867" w:rsidP="00E94E09">
      <w:pPr>
        <w:numPr>
          <w:ilvl w:val="0"/>
          <w:numId w:val="16"/>
        </w:numPr>
        <w:spacing w:after="120"/>
        <w:jc w:val="both"/>
        <w:rPr>
          <w:rFonts w:cs="Calibri"/>
          <w:iCs/>
          <w:color w:val="000000"/>
          <w:lang w:val="el-GR"/>
        </w:rPr>
      </w:pPr>
      <w:r w:rsidRPr="00496867">
        <w:rPr>
          <w:rFonts w:cs="Calibri"/>
          <w:iCs/>
          <w:color w:val="000000"/>
          <w:lang w:val="el-GR"/>
        </w:rPr>
        <w:t>η δύσκολη πρόσβαση σε χρηματοδότηση για τις Μ</w:t>
      </w:r>
      <w:r w:rsidR="00E94E09">
        <w:rPr>
          <w:rFonts w:cs="Calibri"/>
          <w:iCs/>
          <w:color w:val="000000"/>
        </w:rPr>
        <w:t>ME</w:t>
      </w:r>
      <w:r w:rsidRPr="00496867">
        <w:rPr>
          <w:rFonts w:cs="Calibri"/>
          <w:iCs/>
          <w:color w:val="000000"/>
          <w:lang w:val="el-GR"/>
        </w:rPr>
        <w:t>.</w:t>
      </w:r>
    </w:p>
    <w:p w14:paraId="027B300A" w14:textId="77777777"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Στο πλαίσιο </w:t>
      </w:r>
      <w:r w:rsidRPr="00496867">
        <w:rPr>
          <w:rFonts w:cs="Calibri"/>
          <w:b/>
          <w:iCs/>
          <w:color w:val="000000"/>
          <w:lang w:val="el-GR"/>
        </w:rPr>
        <w:t>ανάδειξης του τομέα ΕΤΑΚ</w:t>
      </w:r>
      <w:r w:rsidRPr="00496867">
        <w:rPr>
          <w:rFonts w:cs="Calibri"/>
          <w:iCs/>
          <w:color w:val="000000"/>
          <w:lang w:val="el-GR"/>
        </w:rPr>
        <w:t xml:space="preserve"> ως ενισχυτικού παράγοντα για την ανάκαμψη της Κυπριακής οικονομίας </w:t>
      </w:r>
      <w:r w:rsidRPr="00496867">
        <w:rPr>
          <w:rFonts w:cs="Calibri"/>
          <w:b/>
          <w:iCs/>
          <w:color w:val="000000"/>
          <w:lang w:val="el-GR"/>
        </w:rPr>
        <w:t>(Θ.Σ.1)</w:t>
      </w:r>
      <w:r w:rsidRPr="00496867">
        <w:rPr>
          <w:rFonts w:cs="Calibri"/>
          <w:iCs/>
          <w:color w:val="000000"/>
          <w:lang w:val="el-GR"/>
        </w:rPr>
        <w:t>,</w:t>
      </w:r>
      <w:r w:rsidRPr="00496867">
        <w:rPr>
          <w:rFonts w:cs="Calibri"/>
          <w:b/>
          <w:iCs/>
          <w:color w:val="000000"/>
          <w:lang w:val="el-GR"/>
        </w:rPr>
        <w:t xml:space="preserve"> μέσω των ΕΔΕΤ</w:t>
      </w:r>
      <w:r w:rsidRPr="00496867">
        <w:rPr>
          <w:rFonts w:cs="Calibri"/>
          <w:iCs/>
          <w:color w:val="000000"/>
          <w:lang w:val="el-GR"/>
        </w:rPr>
        <w:t xml:space="preserve"> προβλέπονται </w:t>
      </w:r>
      <w:r w:rsidRPr="00496867">
        <w:rPr>
          <w:rFonts w:cs="Calibri"/>
          <w:b/>
          <w:iCs/>
          <w:color w:val="000000"/>
          <w:lang w:val="el-GR"/>
        </w:rPr>
        <w:t xml:space="preserve">στοχευμένες παρεμβάσεις </w:t>
      </w:r>
      <w:r w:rsidRPr="00496867">
        <w:rPr>
          <w:rFonts w:cs="Calibri"/>
          <w:iCs/>
          <w:color w:val="000000"/>
          <w:lang w:val="el-GR"/>
        </w:rPr>
        <w:t xml:space="preserve">που </w:t>
      </w:r>
      <w:r w:rsidRPr="00496867">
        <w:rPr>
          <w:rFonts w:cs="Calibri"/>
          <w:iCs/>
          <w:color w:val="000000"/>
          <w:lang w:val="el-GR"/>
        </w:rPr>
        <w:lastRenderedPageBreak/>
        <w:t>αφορούν</w:t>
      </w:r>
      <w:r w:rsidRPr="00496867">
        <w:rPr>
          <w:rFonts w:cs="Calibri"/>
          <w:b/>
          <w:iCs/>
          <w:color w:val="000000"/>
          <w:lang w:val="el-GR"/>
        </w:rPr>
        <w:t xml:space="preserve"> την αύξηση των επενδύσεων στον χώρο της  Έρευνας και Καινοτομίας (Ε&amp;Κ) με στόχο τη διασύνδεσή της με τον παραγωγικό ιστό της οικονομίας. </w:t>
      </w:r>
    </w:p>
    <w:p w14:paraId="4AEE941F" w14:textId="77777777"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Ειδικότερα, </w:t>
      </w:r>
      <w:r w:rsidRPr="00496867">
        <w:rPr>
          <w:rFonts w:cs="Calibri"/>
          <w:b/>
          <w:iCs/>
          <w:color w:val="000000"/>
          <w:lang w:val="el-GR"/>
        </w:rPr>
        <w:t>μέσω του ΕΤΠΑ</w:t>
      </w:r>
      <w:r w:rsidRPr="00496867">
        <w:rPr>
          <w:rFonts w:cs="Calibri"/>
          <w:iCs/>
          <w:color w:val="000000"/>
          <w:lang w:val="el-GR"/>
        </w:rPr>
        <w:t xml:space="preserve"> επιδιώκεται η αύξηση της ερευνητικής δυναμικότητας της χώρας και των ιδιωτικών επενδύσεων σε δραστηριότητες, υποδομές και ικανότητες Ε&amp;Κ. Οι </w:t>
      </w:r>
      <w:r w:rsidRPr="00496867">
        <w:rPr>
          <w:rFonts w:cs="Calibri"/>
          <w:b/>
          <w:iCs/>
          <w:color w:val="000000"/>
          <w:lang w:val="el-GR"/>
        </w:rPr>
        <w:t>9 σχετικές Προσκλήσεις</w:t>
      </w:r>
      <w:r w:rsidRPr="00496867">
        <w:rPr>
          <w:rFonts w:cs="Calibri"/>
          <w:iCs/>
          <w:color w:val="000000"/>
          <w:lang w:val="el-GR"/>
        </w:rPr>
        <w:t xml:space="preserve"> που είχαν προκηρυχθεί μέχρι την 31/12/2016 μέσω του Ε.Π. «Ανταγωνιστικότητα και αειφόρος Ανάπτυξη» αντιστοιχούν </w:t>
      </w:r>
      <w:r w:rsidRPr="009E12C7">
        <w:rPr>
          <w:rFonts w:cs="Calibri"/>
          <w:iCs/>
          <w:color w:val="000000"/>
          <w:lang w:val="el-GR"/>
        </w:rPr>
        <w:t xml:space="preserve">σε </w:t>
      </w:r>
      <w:r w:rsidRPr="009E12C7">
        <w:rPr>
          <w:rFonts w:cs="Calibri"/>
          <w:b/>
          <w:iCs/>
          <w:color w:val="000000"/>
          <w:lang w:val="el-GR"/>
        </w:rPr>
        <w:t>ποσοστό ενεργοποίησης 66,40% των πόρων του ΕΤΠΑ στο Θ.Σ.1.</w:t>
      </w:r>
      <w:r w:rsidRPr="00496867">
        <w:rPr>
          <w:rFonts w:cs="Calibri"/>
          <w:b/>
          <w:iCs/>
          <w:color w:val="000000"/>
          <w:lang w:val="el-GR"/>
        </w:rPr>
        <w:t xml:space="preserve"> </w:t>
      </w:r>
      <w:r w:rsidRPr="00496867">
        <w:rPr>
          <w:rFonts w:cs="Calibri"/>
          <w:iCs/>
          <w:color w:val="000000"/>
          <w:lang w:val="el-GR"/>
        </w:rPr>
        <w:t xml:space="preserve">και αναμένεται να συμβάλλουν στην αύξηση του ερευνητικού δυναμικού της χώρας, στην αύξηση του ποσοστού των ΜμΕ που καινοτομούν και στην διασύνδεση της έρευνας με τις επιχειρήσεις μέσω της ανάπτυξη καινοτόμων συνεργασιών. Ωστόσο, καθώς </w:t>
      </w:r>
      <w:r w:rsidRPr="00496867">
        <w:rPr>
          <w:rFonts w:cs="Calibri"/>
          <w:b/>
          <w:iCs/>
          <w:color w:val="000000"/>
          <w:lang w:val="el-GR"/>
        </w:rPr>
        <w:t>κανένα έργο δεν είχε ενταχθεί</w:t>
      </w:r>
      <w:r w:rsidRPr="00496867">
        <w:rPr>
          <w:rFonts w:cs="Calibri"/>
          <w:iCs/>
          <w:color w:val="000000"/>
          <w:lang w:val="el-GR"/>
        </w:rPr>
        <w:t xml:space="preserve"> μέχρι την ημερομηνία αναφοράς, </w:t>
      </w:r>
      <w:r w:rsidRPr="00496867">
        <w:rPr>
          <w:rFonts w:cs="Calibri"/>
          <w:b/>
          <w:iCs/>
          <w:color w:val="000000"/>
          <w:lang w:val="el-GR"/>
        </w:rPr>
        <w:t>υπάρχει μηδενικό αποτύπωμα</w:t>
      </w:r>
      <w:r w:rsidRPr="00496867">
        <w:rPr>
          <w:rFonts w:cs="Calibri"/>
          <w:iCs/>
          <w:color w:val="000000"/>
          <w:lang w:val="el-GR"/>
        </w:rPr>
        <w:t xml:space="preserve"> στα επιδιωκόμενα αποτελέσματα και στον </w:t>
      </w:r>
      <w:r w:rsidRPr="00496867">
        <w:rPr>
          <w:rFonts w:cs="Calibri"/>
          <w:b/>
          <w:iCs/>
          <w:color w:val="000000"/>
          <w:lang w:val="el-GR"/>
        </w:rPr>
        <w:t xml:space="preserve">δείκτη εκροών </w:t>
      </w:r>
      <w:r w:rsidRPr="00496867">
        <w:rPr>
          <w:rFonts w:cs="Calibri"/>
          <w:b/>
          <w:iCs/>
          <w:color w:val="000000"/>
        </w:rPr>
        <w:t>CO</w:t>
      </w:r>
      <w:r w:rsidRPr="00496867">
        <w:rPr>
          <w:rFonts w:cs="Calibri"/>
          <w:b/>
          <w:iCs/>
          <w:color w:val="000000"/>
          <w:lang w:val="el-GR"/>
        </w:rPr>
        <w:t>27 του πλαισίου επίδοσης</w:t>
      </w:r>
      <w:r w:rsidRPr="00496867">
        <w:rPr>
          <w:rFonts w:cs="Calibri"/>
          <w:iCs/>
          <w:color w:val="000000"/>
          <w:lang w:val="el-GR"/>
        </w:rPr>
        <w:t xml:space="preserve"> που αφορά τις επιχειρηματικές επενδύσεις στην Ε&amp;Κ. Με αυτά τα δεδομένα ο βαθμός επίτευξης της τιμής του 2018 (€5.500.000) καθώς και του τελικού στόχου του Δείκτη το 2023 (€11.500.000) εκτιμάται ως φιλόδοξος και απαιτείται εγρήγορση στο ρυθμό υλοποίησης των σχετικών Σχεδίων Χορηγιών.</w:t>
      </w:r>
    </w:p>
    <w:p w14:paraId="3DB554B6" w14:textId="1A40BCAD" w:rsidR="00496867" w:rsidRPr="00496867" w:rsidRDefault="00496867" w:rsidP="00496867">
      <w:pPr>
        <w:ind w:left="709"/>
        <w:jc w:val="both"/>
        <w:rPr>
          <w:rFonts w:cs="Calibri"/>
          <w:iCs/>
          <w:color w:val="00B050"/>
          <w:lang w:val="el-GR"/>
        </w:rPr>
      </w:pPr>
      <w:r w:rsidRPr="00496867">
        <w:rPr>
          <w:rFonts w:cs="Calibri"/>
          <w:iCs/>
          <w:color w:val="000000"/>
          <w:lang w:val="el-GR"/>
        </w:rPr>
        <w:t xml:space="preserve">Αντίστοιχα </w:t>
      </w:r>
      <w:r w:rsidRPr="00496867">
        <w:rPr>
          <w:rFonts w:cs="Calibri"/>
          <w:b/>
          <w:iCs/>
          <w:color w:val="000000"/>
          <w:lang w:val="el-GR"/>
        </w:rPr>
        <w:t>μέσω του ΕΓΤΑΑ</w:t>
      </w:r>
      <w:r w:rsidRPr="00496867">
        <w:rPr>
          <w:rFonts w:cs="Calibri"/>
          <w:iCs/>
          <w:color w:val="000000"/>
          <w:lang w:val="el-GR"/>
        </w:rPr>
        <w:t>, επιδιώκεται η ενδυνάμωση της συνεργασίας μεταξύ πανεπιστημίων/</w:t>
      </w:r>
      <w:r w:rsidR="00E94E09" w:rsidRPr="00E94E09">
        <w:rPr>
          <w:rFonts w:cs="Calibri"/>
          <w:iCs/>
          <w:color w:val="000000"/>
          <w:lang w:val="el-GR"/>
        </w:rPr>
        <w:t xml:space="preserve"> </w:t>
      </w:r>
      <w:r w:rsidRPr="00496867">
        <w:rPr>
          <w:rFonts w:cs="Calibri"/>
          <w:iCs/>
          <w:color w:val="000000"/>
          <w:lang w:val="el-GR"/>
        </w:rPr>
        <w:t>ερευνητικών κέντρων και μονάδων που δραστηριοποιούνται στους κλάδους της γεωργίας και των διατροφικών προϊόντων, με στόχο την ενίσχυση της καινοτομίας, του αποθέματος γνώσης σε αγροτικές περιοχές, τη σύζευξη της γεωργικής έρευνας με τις ανάγκες του αγροδιατροφικού τομέα, τη διάχυση των αποτελεσμάτων της έρευνας και της τεχνολογίας στην παραγωγή και τέλος την προώθηση της καινοτομίας στη γεωργία και τη βιομηχανία τροφίμων.</w:t>
      </w:r>
      <w:r w:rsidRPr="00496867">
        <w:rPr>
          <w:rFonts w:cs="Calibri"/>
          <w:iCs/>
          <w:lang w:val="el-GR"/>
        </w:rPr>
        <w:t xml:space="preserve"> Το σχετικό Μέτρο του </w:t>
      </w:r>
      <w:r w:rsidRPr="00496867">
        <w:rPr>
          <w:rFonts w:cs="Calibri"/>
          <w:b/>
          <w:iCs/>
          <w:lang w:val="el-GR"/>
        </w:rPr>
        <w:t>ΠΑΑ</w:t>
      </w:r>
      <w:r w:rsidRPr="00496867">
        <w:rPr>
          <w:rFonts w:cs="Calibri"/>
          <w:iCs/>
          <w:lang w:val="el-GR"/>
        </w:rPr>
        <w:t xml:space="preserve"> (Μέτρο 16 «Συνεργασία») δεν έχει ενεργοποιηθεί. Πιο συγκεκριμένα το </w:t>
      </w:r>
      <w:r w:rsidRPr="00496867">
        <w:rPr>
          <w:rFonts w:cs="Calibri"/>
          <w:b/>
          <w:iCs/>
          <w:lang w:val="el-GR"/>
        </w:rPr>
        <w:t>Καθεστώς 16.1</w:t>
      </w:r>
      <w:r w:rsidRPr="00496867">
        <w:rPr>
          <w:rFonts w:cs="Calibri"/>
          <w:iCs/>
          <w:lang w:val="el-GR"/>
        </w:rPr>
        <w:t xml:space="preserve"> «Στήριξη για την εγκαθίδρυση και λειτουργία Επιχειρησιακών Ομάδων» βρίσκεται σε στάδιο εξειδίκευσης – ωρίμανσης και η σχετική προκήρυξη προγραμματίζεται για το 4</w:t>
      </w:r>
      <w:r w:rsidRPr="00496867">
        <w:rPr>
          <w:rFonts w:cs="Calibri"/>
          <w:iCs/>
          <w:vertAlign w:val="superscript"/>
          <w:lang w:val="el-GR"/>
        </w:rPr>
        <w:t>ο</w:t>
      </w:r>
      <w:r w:rsidRPr="00496867">
        <w:rPr>
          <w:rFonts w:cs="Calibri"/>
          <w:iCs/>
          <w:lang w:val="el-GR"/>
        </w:rPr>
        <w:t xml:space="preserve"> τρίμηνο του 2017.</w:t>
      </w:r>
    </w:p>
    <w:p w14:paraId="707FA6BA" w14:textId="77777777"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Οι προτεραιότητες για </w:t>
      </w:r>
      <w:r w:rsidRPr="00496867">
        <w:rPr>
          <w:rFonts w:cs="Calibri"/>
          <w:b/>
          <w:iCs/>
          <w:color w:val="000000"/>
          <w:lang w:val="el-GR"/>
        </w:rPr>
        <w:t>συγχρηματοδότηση από τα ΕΔΕΤ</w:t>
      </w:r>
      <w:r w:rsidRPr="00496867">
        <w:rPr>
          <w:rFonts w:cs="Calibri"/>
          <w:iCs/>
          <w:color w:val="000000"/>
          <w:lang w:val="el-GR"/>
        </w:rPr>
        <w:t xml:space="preserve"> </w:t>
      </w:r>
      <w:r w:rsidRPr="00496867">
        <w:rPr>
          <w:rFonts w:cs="Calibri"/>
          <w:b/>
          <w:iCs/>
          <w:color w:val="000000"/>
          <w:lang w:val="el-GR"/>
        </w:rPr>
        <w:t>στον τομέα των ΤΠΕ (Θ.Σ.2)</w:t>
      </w:r>
      <w:r w:rsidRPr="00496867">
        <w:rPr>
          <w:rFonts w:cs="Calibri"/>
          <w:iCs/>
          <w:color w:val="000000"/>
          <w:lang w:val="el-GR"/>
        </w:rPr>
        <w:t xml:space="preserve"> την περίοδο 2014-2020 επικεντρώνονται στη διάχυση της χρήσης των ΤΠΕ τόσο στο δημόσιο όσο και στον ιδιωτικό τομέα και στη βελτίωση της ποιότητας των υπηρεσιών, των εφαρμογών και των υποδομών των ΤΠΕ.</w:t>
      </w:r>
    </w:p>
    <w:p w14:paraId="6C2C1AE3" w14:textId="77777777"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Ειδικότερα, </w:t>
      </w:r>
      <w:r w:rsidRPr="00496867">
        <w:rPr>
          <w:rFonts w:cs="Calibri"/>
          <w:b/>
          <w:iCs/>
          <w:color w:val="000000"/>
          <w:lang w:val="el-GR"/>
        </w:rPr>
        <w:t>μέσω του ΕΤΠΑ επιδιώκεται</w:t>
      </w:r>
      <w:r w:rsidRPr="00496867">
        <w:rPr>
          <w:rFonts w:cs="Calibri"/>
          <w:iCs/>
          <w:color w:val="000000"/>
          <w:lang w:val="el-GR"/>
        </w:rPr>
        <w:t xml:space="preserve"> η βελτίωση της πρόσβασης του πληθυσμού σε ΤΠΕ μέσω του εκσυγχρονισμού των σχετικών υποδομών και η ενίσχυση της ψηφιακής επιχειρηματικότητας, της  ηλεκτρονικής διακυβέρνησης, της ηλεκτρονικής μάθησης και της ηλεκτρονικής υγείας. Μέχρι τις </w:t>
      </w:r>
      <w:r w:rsidRPr="00496867">
        <w:rPr>
          <w:rFonts w:cs="Calibri"/>
          <w:b/>
          <w:iCs/>
          <w:color w:val="000000"/>
          <w:lang w:val="el-GR"/>
        </w:rPr>
        <w:t>31/12/2016</w:t>
      </w:r>
      <w:r w:rsidRPr="00496867">
        <w:rPr>
          <w:rFonts w:cs="Calibri"/>
          <w:iCs/>
          <w:color w:val="000000"/>
          <w:lang w:val="el-GR"/>
        </w:rPr>
        <w:t xml:space="preserve"> δεν είχε προκηρυχθεί καμιά Πρόσκληση Υποβολής Προτάσεων με αποτέλεσμα να μην μπορεί να καταγραφεί η συνεισφορά του Ταμείου στα επιδιωκόμενα αποτελέσματα και στους δείκτες του πλαισίου επίδοσης. Παρ’ όλα αυτά, υπάρχει σημαντικός αριθμός ώριμων δράσεων με μερικές εξ’ αυτών να υλοποιούνται ήδη λαμβάνοντας χρηματοδότηση από τον κρατικό προϋπολογισμό, μέχρι να ολοκληρωθεί η ένταξή τους στο ανάλογο Ε.Π. Η </w:t>
      </w:r>
      <w:r w:rsidRPr="00496867">
        <w:rPr>
          <w:rFonts w:cs="Calibri"/>
          <w:b/>
          <w:iCs/>
          <w:color w:val="000000"/>
          <w:lang w:val="el-GR"/>
        </w:rPr>
        <w:t>επιτάχυνση στους ρυθμούς ωρίμανσης των υπό ένταξη δράσεων θα συμβάλει στη μετρίαση του κινδύνου</w:t>
      </w:r>
      <w:r w:rsidRPr="00496867">
        <w:rPr>
          <w:rFonts w:cs="Calibri"/>
          <w:iCs/>
          <w:color w:val="000000"/>
          <w:lang w:val="el-GR"/>
        </w:rPr>
        <w:t xml:space="preserve"> για την επίτευξη των τιμών (2018: €48 εκ. και 2023: €86,47 εκ.) </w:t>
      </w:r>
      <w:r w:rsidRPr="00496867">
        <w:rPr>
          <w:rFonts w:cs="Calibri"/>
          <w:b/>
          <w:iCs/>
          <w:color w:val="000000"/>
          <w:lang w:val="el-GR"/>
        </w:rPr>
        <w:t>Χρηματοοικονομικού Δείκτη 2 του πλαισίου επίδοσης</w:t>
      </w:r>
      <w:r w:rsidRPr="00496867">
        <w:rPr>
          <w:rFonts w:cs="Calibri"/>
          <w:iCs/>
          <w:color w:val="000000"/>
          <w:lang w:val="el-GR"/>
        </w:rPr>
        <w:t>.</w:t>
      </w:r>
    </w:p>
    <w:p w14:paraId="73107744" w14:textId="77777777" w:rsidR="00496867" w:rsidRPr="00496867" w:rsidRDefault="00496867" w:rsidP="00496867">
      <w:pPr>
        <w:ind w:left="709"/>
        <w:jc w:val="both"/>
        <w:rPr>
          <w:rFonts w:cs="Calibri"/>
          <w:iCs/>
          <w:lang w:val="el-GR"/>
        </w:rPr>
      </w:pPr>
      <w:r w:rsidRPr="00496867">
        <w:rPr>
          <w:rFonts w:cs="Calibri"/>
          <w:iCs/>
          <w:color w:val="000000"/>
          <w:lang w:val="el-GR"/>
        </w:rPr>
        <w:lastRenderedPageBreak/>
        <w:t>Όσον αφορά στο</w:t>
      </w:r>
      <w:r w:rsidRPr="00496867">
        <w:rPr>
          <w:rFonts w:cs="Calibri"/>
          <w:b/>
          <w:iCs/>
          <w:color w:val="000000"/>
          <w:lang w:val="el-GR"/>
        </w:rPr>
        <w:t xml:space="preserve"> ΕΓΤΑΑ</w:t>
      </w:r>
      <w:r w:rsidRPr="00496867">
        <w:rPr>
          <w:rFonts w:cs="Calibri"/>
          <w:iCs/>
          <w:color w:val="000000"/>
          <w:lang w:val="el-GR"/>
        </w:rPr>
        <w:t>, θα λειτουργήσει σε συνέργεια με το ΕΤΠΑ, με στόχο την περαιτέρω διείσδυση των ΤΠΕ στις αγροτικές περιοχές.</w:t>
      </w:r>
      <w:r w:rsidRPr="00496867">
        <w:rPr>
          <w:rFonts w:cs="Calibri"/>
          <w:iCs/>
          <w:lang w:val="el-GR"/>
        </w:rPr>
        <w:t xml:space="preserve"> Μέσω του Καθεστώτος του </w:t>
      </w:r>
      <w:r w:rsidRPr="00496867">
        <w:rPr>
          <w:rFonts w:cs="Calibri"/>
          <w:b/>
          <w:iCs/>
          <w:lang w:val="el-GR"/>
        </w:rPr>
        <w:t>ΠΑΑ</w:t>
      </w:r>
      <w:r w:rsidRPr="00496867">
        <w:rPr>
          <w:rFonts w:cs="Calibri"/>
          <w:iCs/>
          <w:lang w:val="el-GR"/>
        </w:rPr>
        <w:t>, 7.3 «Ευρυζωνική υποδομή», θα χρηματοδοτηθούν οι υποδομές για την δημιουργία νησίδων ελεύθερης πρόσβασης στο διαδίκτυο στις αγροτικές περιοχές, συμβάλλοντας στην περαιτέρω εξοικείωση των κατοίκων με τις τεχνολογίες πληροφορικής και επικοινωνιών και κατ’ επέκταση στην αύξηση χρήσης του διαδικτύου. Οι νησίδες ελεύθερης πρόσβασης στο διαδίκτυο θα εγκατασταθούν σε κεντρικά σημεία όλων των αγροτικών περιοχών της Κύπρου. Η προκήρυξη του σχετικού Καθεστώς προγραμματίζεται να πραγματοποιηθεί εντός του 2017.</w:t>
      </w:r>
      <w:r w:rsidRPr="00496867">
        <w:rPr>
          <w:lang w:val="el-GR"/>
        </w:rPr>
        <w:t xml:space="preserve"> </w:t>
      </w:r>
      <w:r w:rsidRPr="00496867">
        <w:rPr>
          <w:rFonts w:cs="Calibri"/>
          <w:iCs/>
          <w:lang w:val="el-GR"/>
        </w:rPr>
        <w:t>Κατά την παρούσα φάση, γίνεται καταγραφή των περιοχών όπου θα γίνουν οι επενδύσεις, ενώ ως δικαιούχοι έχουν οριστεί οι ηλεκτρομηχανολογικές υπηρεσίες του Υπουργείου Συγκοινωνιών.</w:t>
      </w:r>
    </w:p>
    <w:p w14:paraId="59BC4ED5" w14:textId="6CD27CC3"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Όσον αφορά στη </w:t>
      </w:r>
      <w:r w:rsidRPr="00496867">
        <w:rPr>
          <w:rFonts w:cs="Calibri"/>
          <w:b/>
          <w:iCs/>
          <w:color w:val="000000"/>
          <w:lang w:val="el-GR"/>
        </w:rPr>
        <w:t>βελτίωση της ανταγωνιστικότητας των Μ</w:t>
      </w:r>
      <w:r w:rsidR="00E94E09">
        <w:rPr>
          <w:rFonts w:cs="Calibri"/>
          <w:b/>
          <w:iCs/>
          <w:color w:val="000000"/>
        </w:rPr>
        <w:t>M</w:t>
      </w:r>
      <w:r w:rsidRPr="00496867">
        <w:rPr>
          <w:rFonts w:cs="Calibri"/>
          <w:b/>
          <w:iCs/>
          <w:color w:val="000000"/>
          <w:lang w:val="el-GR"/>
        </w:rPr>
        <w:t>Ε (Θ.Σ.3)</w:t>
      </w:r>
      <w:r w:rsidRPr="00496867">
        <w:rPr>
          <w:rFonts w:cs="Calibri"/>
          <w:iCs/>
          <w:color w:val="000000"/>
          <w:lang w:val="el-GR"/>
        </w:rPr>
        <w:t xml:space="preserve">, οι </w:t>
      </w:r>
      <w:r w:rsidRPr="00496867">
        <w:rPr>
          <w:rFonts w:cs="Calibri"/>
          <w:b/>
          <w:iCs/>
          <w:color w:val="000000"/>
          <w:lang w:val="el-GR"/>
        </w:rPr>
        <w:t xml:space="preserve">σχεδιαζόμενες παρεμβάσεις αποσκοπούν </w:t>
      </w:r>
      <w:r w:rsidRPr="00496867">
        <w:rPr>
          <w:rFonts w:cs="Calibri"/>
          <w:iCs/>
          <w:color w:val="000000"/>
          <w:lang w:val="el-GR"/>
        </w:rPr>
        <w:t>στην βελτίωση της πρόσβασης τους σε χρηματοδότηση, στην υποστήριξή τους σε όλο το εύρος των δραστηριοτήτων τους, με προτεραιότητα στους τομείς υψηλής προστιθέμενης αξίας, και στην ενίσχυση της επιχειρηματικότητας. Η χρηματοδοτική στήριξη εστιάζει σε τομείς οι οποίοι παρουσιάζουν συγκριτικό πλεονέκτημα για την οικονομία (όπως μεταποίηση, τουρισμός-ΕΤΠΑ, γεωργία-ΕΓΤΑΑ και αλιεία</w:t>
      </w:r>
      <w:r w:rsidR="00DB5A3A">
        <w:rPr>
          <w:rFonts w:cs="Calibri"/>
          <w:iCs/>
          <w:color w:val="000000"/>
          <w:lang w:val="el-GR"/>
        </w:rPr>
        <w:t>/υδατοκαλλιέργεια</w:t>
      </w:r>
      <w:r w:rsidRPr="00496867">
        <w:rPr>
          <w:rFonts w:cs="Calibri"/>
          <w:iCs/>
          <w:color w:val="000000"/>
          <w:lang w:val="el-GR"/>
        </w:rPr>
        <w:t>-ΕΤΘΑ) ενώ παράλληλα προωθούνται μέτρα οριζόντιου χαρακτήρα στήριξης συνεργασιών, δικτύων επιχειρήσεων και αλυσίδων αξίας και εξωστρέφειας.</w:t>
      </w:r>
    </w:p>
    <w:p w14:paraId="28292735" w14:textId="40C78A8E"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Ειδικότερα, </w:t>
      </w:r>
      <w:r w:rsidRPr="00496867">
        <w:rPr>
          <w:rFonts w:cs="Calibri"/>
          <w:b/>
          <w:iCs/>
          <w:color w:val="000000"/>
          <w:lang w:val="el-GR"/>
        </w:rPr>
        <w:t>μέσω του ΕΤΠΑ επιδιώκεται</w:t>
      </w:r>
      <w:r w:rsidRPr="00496867">
        <w:rPr>
          <w:rFonts w:cs="Calibri"/>
          <w:iCs/>
          <w:color w:val="000000"/>
          <w:lang w:val="el-GR"/>
        </w:rPr>
        <w:t xml:space="preserve"> η ενίσχυση της ανάπτυξης και της ανταγωνιστικότητας των Μ</w:t>
      </w:r>
      <w:r w:rsidR="00E94E09">
        <w:rPr>
          <w:rFonts w:cs="Calibri"/>
          <w:iCs/>
          <w:color w:val="000000"/>
        </w:rPr>
        <w:t>M</w:t>
      </w:r>
      <w:r w:rsidRPr="00496867">
        <w:rPr>
          <w:rFonts w:cs="Calibri"/>
          <w:iCs/>
          <w:color w:val="000000"/>
          <w:lang w:val="el-GR"/>
        </w:rPr>
        <w:t xml:space="preserve">Ε, η βελτίωση της ανταγωνιστικότητας του τουριστικού προϊόντος και η ανάπτυξη νέας επιχειρηματικής δραστηριότητας μέσω της ενίσχυση της επιχειρηματικότητας (νέας ή υφιστάμενης) ειδικών ομάδων του πληθυσμού που πλήττονται ιδιαίτερα από την οικονομική κρίση. </w:t>
      </w:r>
      <w:r w:rsidRPr="00496867">
        <w:rPr>
          <w:rFonts w:cs="Calibri"/>
          <w:b/>
          <w:iCs/>
          <w:color w:val="000000"/>
          <w:lang w:val="el-GR"/>
        </w:rPr>
        <w:t xml:space="preserve">Μέχρι το τέλος του </w:t>
      </w:r>
      <w:r w:rsidR="009E12C7">
        <w:rPr>
          <w:rFonts w:cs="Calibri"/>
          <w:b/>
          <w:iCs/>
          <w:color w:val="000000"/>
          <w:lang w:val="el-GR"/>
        </w:rPr>
        <w:t>2016 είχε ενεργοποιηθεί το 3</w:t>
      </w:r>
      <w:r w:rsidR="009E12C7" w:rsidRPr="009E12C7">
        <w:rPr>
          <w:rFonts w:cs="Calibri"/>
          <w:b/>
          <w:iCs/>
          <w:color w:val="000000"/>
          <w:lang w:val="el-GR"/>
        </w:rPr>
        <w:t>3,15</w:t>
      </w:r>
      <w:r w:rsidRPr="00496867">
        <w:rPr>
          <w:rFonts w:cs="Calibri"/>
          <w:b/>
          <w:iCs/>
          <w:color w:val="000000"/>
          <w:lang w:val="el-GR"/>
        </w:rPr>
        <w:t>% (€27,3 εκ.) των πόρων του ΕΤΠΑ στο Θ.Σ. 3</w:t>
      </w:r>
      <w:r w:rsidR="00E94E09" w:rsidRPr="00E94E09">
        <w:rPr>
          <w:rFonts w:cs="Calibri"/>
          <w:b/>
          <w:iCs/>
          <w:color w:val="000000"/>
          <w:lang w:val="el-GR"/>
        </w:rPr>
        <w:t>,</w:t>
      </w:r>
      <w:r w:rsidRPr="00496867">
        <w:rPr>
          <w:rFonts w:cs="Calibri"/>
          <w:iCs/>
          <w:color w:val="000000"/>
          <w:lang w:val="el-GR"/>
        </w:rPr>
        <w:t xml:space="preserve"> μέσω της δημοσίευσης </w:t>
      </w:r>
      <w:r w:rsidRPr="00496867">
        <w:rPr>
          <w:rFonts w:cs="Calibri"/>
          <w:b/>
          <w:iCs/>
          <w:color w:val="000000"/>
          <w:lang w:val="el-GR"/>
        </w:rPr>
        <w:t>3 Προσκλήσεων</w:t>
      </w:r>
      <w:r w:rsidRPr="00496867">
        <w:rPr>
          <w:rFonts w:cs="Calibri"/>
          <w:iCs/>
          <w:color w:val="000000"/>
          <w:lang w:val="el-GR"/>
        </w:rPr>
        <w:t xml:space="preserve"> (€25 εκ.) που αφορούν στην</w:t>
      </w:r>
      <w:r w:rsidRPr="00496867">
        <w:rPr>
          <w:rFonts w:cs="Calibri"/>
          <w:b/>
          <w:iCs/>
          <w:color w:val="000000"/>
          <w:lang w:val="el-GR"/>
        </w:rPr>
        <w:t xml:space="preserve"> ενίσχυση της ανταγωνιστικότητας των Μ</w:t>
      </w:r>
      <w:r w:rsidR="00E94E09">
        <w:rPr>
          <w:rFonts w:cs="Calibri"/>
          <w:b/>
          <w:iCs/>
          <w:color w:val="000000"/>
        </w:rPr>
        <w:t>M</w:t>
      </w:r>
      <w:r w:rsidRPr="00496867">
        <w:rPr>
          <w:rFonts w:cs="Calibri"/>
          <w:b/>
          <w:iCs/>
          <w:color w:val="000000"/>
          <w:lang w:val="el-GR"/>
        </w:rPr>
        <w:t>Ε του μεταποιητικού τομέα</w:t>
      </w:r>
      <w:r w:rsidRPr="00496867">
        <w:rPr>
          <w:rFonts w:cs="Calibri"/>
          <w:iCs/>
          <w:color w:val="000000"/>
          <w:lang w:val="el-GR"/>
        </w:rPr>
        <w:t xml:space="preserve">, στην </w:t>
      </w:r>
      <w:r w:rsidRPr="00496867">
        <w:rPr>
          <w:rFonts w:cs="Calibri"/>
          <w:b/>
          <w:iCs/>
          <w:color w:val="000000"/>
          <w:lang w:val="el-GR"/>
        </w:rPr>
        <w:t xml:space="preserve">στήριξη της γυναικείας και της νεανικής επιχειρηματικότητας </w:t>
      </w:r>
      <w:r w:rsidRPr="00496867">
        <w:rPr>
          <w:rFonts w:cs="Calibri"/>
          <w:iCs/>
          <w:color w:val="000000"/>
          <w:lang w:val="el-GR"/>
        </w:rPr>
        <w:t>και 1 πρόσκλησης (€2,3 εκ.) που αφορά τον Δήμο της Πάφου και αποσκοπεί στην</w:t>
      </w:r>
      <w:r w:rsidRPr="00496867">
        <w:rPr>
          <w:rFonts w:cs="Calibri"/>
          <w:b/>
          <w:iCs/>
          <w:color w:val="000000"/>
          <w:lang w:val="el-GR"/>
        </w:rPr>
        <w:t xml:space="preserve"> προώθηση της επιχειρηματικής δραστηριότητας με μη άμεσο τρόπο μέσω παρεμβάσεων στις αστικές περιοχές. </w:t>
      </w:r>
      <w:r w:rsidRPr="00496867">
        <w:rPr>
          <w:rFonts w:cs="Calibri"/>
          <w:iCs/>
          <w:color w:val="000000"/>
          <w:lang w:val="el-GR"/>
        </w:rPr>
        <w:t>Παράλληλα, αναμένονται νέες Προσκλήσεις στο προσεχές διάστημα που θα συμβάλλουν περαιτέρω στην επίτευξη των επιδιωκόμενων αποτελεσμάτων, όπως η προώθηση συμπράξεων και δικτύων συνεργασίας μεταξύ Μ</w:t>
      </w:r>
      <w:r w:rsidR="00E94E09">
        <w:rPr>
          <w:rFonts w:cs="Calibri"/>
          <w:iCs/>
          <w:color w:val="000000"/>
        </w:rPr>
        <w:t>M</w:t>
      </w:r>
      <w:r w:rsidRPr="00496867">
        <w:rPr>
          <w:rFonts w:cs="Calibri"/>
          <w:iCs/>
          <w:color w:val="000000"/>
          <w:lang w:val="el-GR"/>
        </w:rPr>
        <w:t>Ε.</w:t>
      </w:r>
    </w:p>
    <w:p w14:paraId="4DD1F053" w14:textId="77777777" w:rsidR="00496867" w:rsidRPr="00496867" w:rsidRDefault="00496867" w:rsidP="00496867">
      <w:pPr>
        <w:ind w:left="709"/>
        <w:jc w:val="both"/>
        <w:rPr>
          <w:rFonts w:cs="Calibri"/>
          <w:iCs/>
          <w:lang w:val="el-GR"/>
        </w:rPr>
      </w:pPr>
      <w:r w:rsidRPr="00496867">
        <w:rPr>
          <w:rFonts w:cs="Calibri"/>
          <w:iCs/>
          <w:color w:val="000000"/>
          <w:lang w:val="el-GR"/>
        </w:rPr>
        <w:t xml:space="preserve">Σε </w:t>
      </w:r>
      <w:r w:rsidRPr="00496867">
        <w:rPr>
          <w:rFonts w:cs="Calibri"/>
          <w:b/>
          <w:iCs/>
          <w:color w:val="000000"/>
          <w:lang w:val="el-GR"/>
        </w:rPr>
        <w:t xml:space="preserve">σχέση με </w:t>
      </w:r>
      <w:r w:rsidRPr="00496867">
        <w:rPr>
          <w:rFonts w:cs="Calibri"/>
          <w:b/>
          <w:iCs/>
          <w:lang w:val="el-GR"/>
        </w:rPr>
        <w:t>την Πρόσκληση που αφορά την προώθηση της επιχειρηματικής δραστηριότητας μέσω της Βιώσιμης Αστικής Ανάπτυξης</w:t>
      </w:r>
      <w:r w:rsidRPr="00496867">
        <w:rPr>
          <w:rFonts w:cs="Calibri"/>
          <w:iCs/>
          <w:lang w:val="el-GR"/>
        </w:rPr>
        <w:t xml:space="preserve"> </w:t>
      </w:r>
      <w:r w:rsidRPr="00496867">
        <w:rPr>
          <w:rFonts w:cs="Calibri"/>
          <w:b/>
          <w:iCs/>
          <w:lang w:val="el-GR"/>
        </w:rPr>
        <w:t xml:space="preserve">μέχρι το τέλος του 2016 </w:t>
      </w:r>
      <w:r w:rsidRPr="00496867">
        <w:rPr>
          <w:rFonts w:cs="Calibri"/>
          <w:iCs/>
          <w:lang w:val="el-GR"/>
        </w:rPr>
        <w:t xml:space="preserve">δεν υπήρχε ακόμα κάποιο </w:t>
      </w:r>
      <w:r w:rsidRPr="00496867">
        <w:rPr>
          <w:rFonts w:cs="Calibri"/>
          <w:b/>
          <w:iCs/>
          <w:lang w:val="el-GR"/>
        </w:rPr>
        <w:t>ενταγμένο έργο</w:t>
      </w:r>
      <w:r w:rsidRPr="00496867">
        <w:rPr>
          <w:rFonts w:cs="Calibri"/>
          <w:iCs/>
          <w:lang w:val="el-GR"/>
        </w:rPr>
        <w:t xml:space="preserve">, με αποτέλεσμα να μην υπάρχει αποτύπωμα όσον αφορά τους επιδιωκόμενους στόχους, ενώ όσον αφορά το πλαίσιο επίδοσης που σχετίζεται με τη Βιώσιμη Αστική Ανάπτυξη, βρίσκεται υπό αναθεώρηση. Ωστόσο, στο πλαίσιο του υποψηφίου προς ένταξη έργου που αφορά την αποκατάσταση, τον εξωραϊσμό και την αναβάθμιση της Δημοτικής Αγοράς της Πάφου έχουν ήδη πραγματοποιηθεί επιλέξιμες δαπάνες με την στήριξη του κρατικού προϋπολογισμού. </w:t>
      </w:r>
    </w:p>
    <w:p w14:paraId="09FD725A" w14:textId="7A5389FF" w:rsidR="00496867" w:rsidRPr="00496867" w:rsidRDefault="00496867" w:rsidP="00496867">
      <w:pPr>
        <w:ind w:left="709"/>
        <w:jc w:val="both"/>
        <w:rPr>
          <w:rFonts w:cs="Calibri"/>
          <w:iCs/>
          <w:color w:val="000000"/>
          <w:lang w:val="el-GR"/>
        </w:rPr>
      </w:pPr>
      <w:r w:rsidRPr="00496867">
        <w:rPr>
          <w:rFonts w:cs="Calibri"/>
          <w:iCs/>
          <w:lang w:val="el-GR"/>
        </w:rPr>
        <w:t xml:space="preserve">Στο πλαίσιο των </w:t>
      </w:r>
      <w:r w:rsidRPr="00496867">
        <w:rPr>
          <w:rFonts w:cs="Calibri"/>
          <w:b/>
          <w:iCs/>
          <w:lang w:val="el-GR"/>
        </w:rPr>
        <w:t>υπόλοιπων τριών Προσκλήσεων</w:t>
      </w:r>
      <w:r w:rsidRPr="00496867">
        <w:rPr>
          <w:rFonts w:cs="Calibri"/>
          <w:iCs/>
          <w:lang w:val="el-GR"/>
        </w:rPr>
        <w:t xml:space="preserve">, </w:t>
      </w:r>
      <w:r w:rsidRPr="00496867">
        <w:rPr>
          <w:rFonts w:cs="Calibri"/>
          <w:b/>
          <w:iCs/>
          <w:lang w:val="el-GR"/>
        </w:rPr>
        <w:t>έχουν υπογραφεί 247 συμβάσεις για την άμεση ενίσχυση ισάριθμων επιχειρήσεων</w:t>
      </w:r>
      <w:r w:rsidRPr="00496867">
        <w:rPr>
          <w:rFonts w:cs="Calibri"/>
          <w:iCs/>
          <w:lang w:val="el-GR"/>
        </w:rPr>
        <w:t xml:space="preserve"> γεγονός που εκτιμάται ότι</w:t>
      </w:r>
      <w:r w:rsidRPr="00496867">
        <w:rPr>
          <w:rFonts w:cs="Calibri"/>
          <w:b/>
          <w:iCs/>
          <w:lang w:val="el-GR"/>
        </w:rPr>
        <w:t xml:space="preserve"> θα συμβάλει αποφασιστικά για την επίτευξη</w:t>
      </w:r>
      <w:r w:rsidRPr="00496867">
        <w:rPr>
          <w:lang w:val="el-GR"/>
        </w:rPr>
        <w:t xml:space="preserve"> του</w:t>
      </w:r>
      <w:r w:rsidRPr="00496867">
        <w:rPr>
          <w:b/>
          <w:lang w:val="el-GR"/>
        </w:rPr>
        <w:t xml:space="preserve"> ορόσημου για το 2018 και του τελικού στόχου του Δείκτη </w:t>
      </w:r>
      <w:r w:rsidRPr="00496867">
        <w:rPr>
          <w:b/>
          <w:lang w:val="el-GR"/>
        </w:rPr>
        <w:lastRenderedPageBreak/>
        <w:t xml:space="preserve">Εκροών </w:t>
      </w:r>
      <w:r w:rsidRPr="00496867">
        <w:rPr>
          <w:b/>
        </w:rPr>
        <w:t>CO</w:t>
      </w:r>
      <w:r w:rsidRPr="00496867">
        <w:rPr>
          <w:b/>
          <w:lang w:val="el-GR"/>
        </w:rPr>
        <w:t xml:space="preserve">01 </w:t>
      </w:r>
      <w:r w:rsidRPr="00496867">
        <w:rPr>
          <w:lang w:val="el-GR"/>
        </w:rPr>
        <w:t xml:space="preserve">του πλαισίου επίδοσης. Παράλληλα, η ενίσχυση 247 επιχειρήσεων θα συμβάλλει στη δημιουργία νέων θέσεων εργασίας καθώς η προβλεπόμενη αύξηση της απασχόλησης καλύπτει περίπου το 53% του τελικού στόχου του σχετικού δείκτη εκροών. Το </w:t>
      </w:r>
      <w:r w:rsidRPr="00496867">
        <w:rPr>
          <w:b/>
          <w:lang w:val="el-GR"/>
        </w:rPr>
        <w:t>ύψος της δημόσιας δαπάνης</w:t>
      </w:r>
      <w:r w:rsidRPr="00496867">
        <w:rPr>
          <w:lang w:val="el-GR"/>
        </w:rPr>
        <w:t xml:space="preserve"> που έχει πιστοποιηθεί μέχρι τ</w:t>
      </w:r>
      <w:r w:rsidR="00E94E09">
        <w:rPr>
          <w:lang w:val="el-GR"/>
        </w:rPr>
        <w:t>ις</w:t>
      </w:r>
      <w:r w:rsidRPr="00496867">
        <w:rPr>
          <w:lang w:val="el-GR"/>
        </w:rPr>
        <w:t xml:space="preserve"> 31/12/2016 είναι ιδιαίτερα χαμηλό</w:t>
      </w:r>
      <w:r w:rsidR="00E94E09">
        <w:rPr>
          <w:lang w:val="el-GR"/>
        </w:rPr>
        <w:t>,</w:t>
      </w:r>
      <w:r w:rsidRPr="00496867">
        <w:rPr>
          <w:lang w:val="el-GR"/>
        </w:rPr>
        <w:t xml:space="preserve"> καθώς ανέρχεται σε </w:t>
      </w:r>
      <w:r w:rsidRPr="00496867">
        <w:rPr>
          <w:rFonts w:cs="Calibri"/>
          <w:b/>
          <w:iCs/>
          <w:lang w:val="el-GR"/>
        </w:rPr>
        <w:t xml:space="preserve">€0,93 εκ. </w:t>
      </w:r>
      <w:r w:rsidRPr="00496867">
        <w:rPr>
          <w:rFonts w:cs="Calibri"/>
          <w:iCs/>
          <w:lang w:val="el-GR"/>
        </w:rPr>
        <w:t xml:space="preserve">Παρά το γεγονός ότι ο αριθμός των </w:t>
      </w:r>
      <w:r w:rsidR="00E94E09">
        <w:rPr>
          <w:rFonts w:cs="Calibri"/>
          <w:iCs/>
          <w:lang w:val="el-GR"/>
        </w:rPr>
        <w:t>εγκεκριμένων</w:t>
      </w:r>
      <w:r w:rsidRPr="00496867">
        <w:rPr>
          <w:rFonts w:cs="Calibri"/>
          <w:iCs/>
          <w:lang w:val="el-GR"/>
        </w:rPr>
        <w:t xml:space="preserve"> προτάσεων προς ενίσχυση αφήνει περιθώρια αύξησης των πιστοποιημένων δαπανών (επιλέξιμη Δημόσια Δαπάνης ύψους €8,78 εκ.), ο </w:t>
      </w:r>
      <w:r w:rsidRPr="00496867">
        <w:rPr>
          <w:rFonts w:cs="Calibri"/>
          <w:b/>
          <w:iCs/>
          <w:lang w:val="el-GR"/>
        </w:rPr>
        <w:t>κίνδυνος μη επίτευξης των τιμών</w:t>
      </w:r>
      <w:r w:rsidRPr="00496867">
        <w:rPr>
          <w:rFonts w:cs="Calibri"/>
          <w:iCs/>
          <w:lang w:val="el-GR"/>
        </w:rPr>
        <w:t xml:space="preserve"> (Ορόσημο και στόχος) του </w:t>
      </w:r>
      <w:r w:rsidRPr="00496867">
        <w:rPr>
          <w:rFonts w:cs="Calibri"/>
          <w:b/>
          <w:iCs/>
          <w:lang w:val="el-GR"/>
        </w:rPr>
        <w:t>Χρηματοοικονομικού Δείκτη 1</w:t>
      </w:r>
      <w:r w:rsidRPr="00496867">
        <w:rPr>
          <w:rFonts w:cs="Calibri"/>
          <w:iCs/>
          <w:lang w:val="el-GR"/>
        </w:rPr>
        <w:t xml:space="preserve"> του πλαισίου επίδοσης </w:t>
      </w:r>
      <w:r w:rsidRPr="00496867">
        <w:rPr>
          <w:rFonts w:cs="Calibri"/>
          <w:b/>
          <w:iCs/>
          <w:lang w:val="el-GR"/>
        </w:rPr>
        <w:t>κρίνεται ως υψηλός</w:t>
      </w:r>
      <w:r w:rsidRPr="00496867">
        <w:rPr>
          <w:rFonts w:cs="Calibri"/>
          <w:iCs/>
          <w:lang w:val="el-GR"/>
        </w:rPr>
        <w:t xml:space="preserve">, ιδιαίτερα αν συνυπολογιστεί η μηδενική συμβολή μέχρι το τέλος του 2016 από τις παρεμβάσεις στο Θ.Σ 1. </w:t>
      </w:r>
    </w:p>
    <w:p w14:paraId="5B18A423" w14:textId="6203A393"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Όσον αφορά στη </w:t>
      </w:r>
      <w:r w:rsidRPr="00496867">
        <w:rPr>
          <w:rFonts w:cs="Calibri"/>
          <w:b/>
          <w:iCs/>
          <w:color w:val="000000"/>
          <w:lang w:val="el-GR"/>
        </w:rPr>
        <w:t>συμβολή του ΕΤΘΑ στο Θ.Σ. 3</w:t>
      </w:r>
      <w:r w:rsidRPr="00496867">
        <w:rPr>
          <w:rFonts w:cs="Calibri"/>
          <w:iCs/>
          <w:color w:val="000000"/>
          <w:lang w:val="el-GR"/>
        </w:rPr>
        <w:t xml:space="preserve">, </w:t>
      </w:r>
      <w:r w:rsidRPr="00496867">
        <w:rPr>
          <w:rFonts w:cs="Calibri"/>
          <w:b/>
          <w:iCs/>
          <w:color w:val="000000"/>
          <w:lang w:val="el-GR"/>
        </w:rPr>
        <w:t xml:space="preserve">επιδιώκεται </w:t>
      </w:r>
      <w:r w:rsidRPr="00496867">
        <w:rPr>
          <w:rFonts w:cs="Calibri"/>
          <w:iCs/>
          <w:color w:val="000000"/>
          <w:lang w:val="el-GR"/>
        </w:rPr>
        <w:t xml:space="preserve">η διαφοροποίηση και ο εμπλουτισμός της οικονομικής δραστηριότητας των </w:t>
      </w:r>
      <w:r w:rsidR="00DB5A3A">
        <w:rPr>
          <w:rFonts w:cs="Calibri"/>
          <w:iCs/>
          <w:color w:val="000000"/>
          <w:lang w:val="el-GR"/>
        </w:rPr>
        <w:t>αλιέων</w:t>
      </w:r>
      <w:r w:rsidRPr="00496867">
        <w:rPr>
          <w:rFonts w:cs="Calibri"/>
          <w:iCs/>
          <w:color w:val="000000"/>
          <w:lang w:val="el-GR"/>
        </w:rPr>
        <w:t xml:space="preserve"> μέσω νέων μορφών εισοδήματος που συνδέονται </w:t>
      </w:r>
      <w:r w:rsidR="00DB5A3A">
        <w:rPr>
          <w:rFonts w:cs="Calibri"/>
          <w:iCs/>
          <w:color w:val="000000"/>
          <w:lang w:val="el-GR"/>
        </w:rPr>
        <w:t xml:space="preserve">κυρίως </w:t>
      </w:r>
      <w:r w:rsidRPr="00496867">
        <w:rPr>
          <w:rFonts w:cs="Calibri"/>
          <w:iCs/>
          <w:color w:val="000000"/>
          <w:lang w:val="el-GR"/>
        </w:rPr>
        <w:t xml:space="preserve">με τον τουρισμό, </w:t>
      </w:r>
      <w:r w:rsidR="00DB5A3A" w:rsidRPr="00DB5A3A">
        <w:rPr>
          <w:rFonts w:cs="Calibri"/>
          <w:iCs/>
          <w:color w:val="000000"/>
          <w:lang w:val="el-GR"/>
        </w:rPr>
        <w:t>η αναδιάρθρωση και ο εκσυγχρονισμός των αλιευτικών σκαφών</w:t>
      </w:r>
      <w:r w:rsidRPr="00496867">
        <w:rPr>
          <w:rFonts w:cs="Calibri"/>
          <w:iCs/>
          <w:color w:val="000000"/>
          <w:lang w:val="el-GR"/>
        </w:rPr>
        <w:t>, η ενίσχυση της καινοτομίας</w:t>
      </w:r>
      <w:r w:rsidR="00DB5A3A">
        <w:rPr>
          <w:rFonts w:cs="Calibri"/>
          <w:iCs/>
          <w:color w:val="000000"/>
          <w:lang w:val="el-GR"/>
        </w:rPr>
        <w:t xml:space="preserve"> </w:t>
      </w:r>
      <w:r w:rsidR="00DB5A3A" w:rsidRPr="00DB5A3A">
        <w:rPr>
          <w:rFonts w:cs="Calibri"/>
          <w:iCs/>
          <w:color w:val="000000"/>
          <w:lang w:val="el-GR"/>
        </w:rPr>
        <w:t>στον τομέα των υδατοκαλλιεργειών</w:t>
      </w:r>
      <w:r w:rsidR="00DB5A3A">
        <w:rPr>
          <w:rFonts w:cs="Calibri"/>
          <w:iCs/>
          <w:color w:val="000000"/>
          <w:lang w:val="el-GR"/>
        </w:rPr>
        <w:t>, η μεταφορά</w:t>
      </w:r>
      <w:r w:rsidRPr="00496867">
        <w:rPr>
          <w:rFonts w:cs="Calibri"/>
          <w:iCs/>
          <w:color w:val="000000"/>
          <w:lang w:val="el-GR"/>
        </w:rPr>
        <w:t xml:space="preserve"> γνώσης μέσω συμπράξεων μεταξύ επιστημό</w:t>
      </w:r>
      <w:r w:rsidR="00DB5A3A">
        <w:rPr>
          <w:rFonts w:cs="Calibri"/>
          <w:iCs/>
          <w:color w:val="000000"/>
          <w:lang w:val="el-GR"/>
        </w:rPr>
        <w:t>νων και αλιέων</w:t>
      </w:r>
      <w:r w:rsidRPr="00496867">
        <w:rPr>
          <w:rFonts w:cs="Calibri"/>
          <w:iCs/>
          <w:color w:val="000000"/>
          <w:lang w:val="el-GR"/>
        </w:rPr>
        <w:t xml:space="preserve">, η ενίσχυση των επιχειρήσεων </w:t>
      </w:r>
      <w:r w:rsidR="00DB5A3A">
        <w:rPr>
          <w:rFonts w:cs="Calibri"/>
          <w:iCs/>
          <w:color w:val="000000"/>
          <w:lang w:val="el-GR"/>
        </w:rPr>
        <w:t>υδατοκαλλιέργειας μέσω παραγωγικών επενδύσεων</w:t>
      </w:r>
      <w:r w:rsidRPr="00496867">
        <w:rPr>
          <w:rFonts w:cs="Calibri"/>
          <w:iCs/>
          <w:color w:val="000000"/>
          <w:lang w:val="el-GR"/>
        </w:rPr>
        <w:t xml:space="preserve"> και τέλος η βελτίωση της ανταγωνιστικότητας και της βιωσιμότητας των τομέων αλιείας και υδατοκαλλιέργειας μέσω της προώθηση</w:t>
      </w:r>
      <w:r w:rsidR="00DB5A3A">
        <w:rPr>
          <w:rFonts w:cs="Calibri"/>
          <w:iCs/>
          <w:color w:val="000000"/>
          <w:lang w:val="el-GR"/>
        </w:rPr>
        <w:t>ς επενδύσεων για τη βελτίωση</w:t>
      </w:r>
      <w:r w:rsidRPr="00496867">
        <w:rPr>
          <w:rFonts w:cs="Calibri"/>
          <w:iCs/>
          <w:color w:val="000000"/>
          <w:lang w:val="el-GR"/>
        </w:rPr>
        <w:t xml:space="preserve"> της οργάνωσης της αγοράς και της μεταποίησης των προϊόντων τους. Μέχρι την </w:t>
      </w:r>
      <w:r w:rsidRPr="00496867">
        <w:rPr>
          <w:rFonts w:cs="Calibri"/>
          <w:b/>
          <w:iCs/>
          <w:color w:val="000000"/>
          <w:lang w:val="el-GR"/>
        </w:rPr>
        <w:t>31/12/2016</w:t>
      </w:r>
      <w:r w:rsidRPr="00496867">
        <w:rPr>
          <w:rFonts w:cs="Calibri"/>
          <w:iCs/>
          <w:color w:val="000000"/>
          <w:lang w:val="el-GR"/>
        </w:rPr>
        <w:t xml:space="preserve"> </w:t>
      </w:r>
      <w:r w:rsidRPr="00496867">
        <w:rPr>
          <w:rFonts w:cs="Calibri"/>
          <w:b/>
          <w:iCs/>
          <w:color w:val="000000"/>
          <w:lang w:val="el-GR"/>
        </w:rPr>
        <w:t>είχε ενεργοποιηθεί</w:t>
      </w:r>
      <w:r w:rsidRPr="00496867">
        <w:rPr>
          <w:rFonts w:cs="Calibri"/>
          <w:iCs/>
          <w:color w:val="000000"/>
          <w:lang w:val="el-GR"/>
        </w:rPr>
        <w:t xml:space="preserve"> το </w:t>
      </w:r>
      <w:r w:rsidR="00DF0227">
        <w:rPr>
          <w:rFonts w:cs="Calibri"/>
          <w:b/>
          <w:iCs/>
          <w:color w:val="000000"/>
          <w:lang w:val="el-GR"/>
        </w:rPr>
        <w:t>26,09</w:t>
      </w:r>
      <w:r w:rsidRPr="00496867">
        <w:rPr>
          <w:rFonts w:cs="Calibri"/>
          <w:b/>
          <w:iCs/>
          <w:color w:val="000000"/>
          <w:lang w:val="el-GR"/>
        </w:rPr>
        <w:t xml:space="preserve">% (€3,4 εκ.) </w:t>
      </w:r>
      <w:r w:rsidR="00DF0227">
        <w:rPr>
          <w:rFonts w:cs="Calibri"/>
          <w:b/>
          <w:iCs/>
          <w:color w:val="000000"/>
          <w:lang w:val="el-GR"/>
        </w:rPr>
        <w:t>της Δημόσιας Δαπάνης του Ε.Π. «Θάλασσα» 2014-2020 στο Θ.Σ. 3</w:t>
      </w:r>
      <w:r w:rsidRPr="00496867">
        <w:rPr>
          <w:rFonts w:cs="Calibri"/>
          <w:b/>
          <w:iCs/>
          <w:color w:val="000000"/>
          <w:lang w:val="el-GR"/>
        </w:rPr>
        <w:t xml:space="preserve"> μέσω δύο </w:t>
      </w:r>
      <w:r w:rsidR="00DB5A3A">
        <w:rPr>
          <w:rFonts w:cs="Calibri"/>
          <w:b/>
          <w:iCs/>
          <w:color w:val="000000"/>
          <w:lang w:val="el-GR"/>
        </w:rPr>
        <w:t>Μέτρων</w:t>
      </w:r>
      <w:r w:rsidRPr="00496867">
        <w:rPr>
          <w:rFonts w:cs="Calibri"/>
          <w:b/>
          <w:iCs/>
          <w:color w:val="000000"/>
          <w:lang w:val="el-GR"/>
        </w:rPr>
        <w:t xml:space="preserve"> (Σ.Χ.) </w:t>
      </w:r>
      <w:r w:rsidRPr="00496867">
        <w:rPr>
          <w:rFonts w:cs="Calibri"/>
          <w:iCs/>
          <w:color w:val="000000"/>
          <w:lang w:val="el-GR"/>
        </w:rPr>
        <w:t>που ως στόχο είχαν την</w:t>
      </w:r>
      <w:r w:rsidRPr="00496867">
        <w:rPr>
          <w:rFonts w:cs="Calibri"/>
          <w:b/>
          <w:iCs/>
          <w:color w:val="000000"/>
          <w:lang w:val="el-GR"/>
        </w:rPr>
        <w:t xml:space="preserve"> ενίσχυση της ανταγωνιστικότητας και της βιωσιμότητας των </w:t>
      </w:r>
      <w:r w:rsidR="00DB5A3A">
        <w:rPr>
          <w:rFonts w:cs="Calibri"/>
          <w:b/>
          <w:iCs/>
          <w:color w:val="000000"/>
          <w:lang w:val="el-GR"/>
        </w:rPr>
        <w:t>αλιέων</w:t>
      </w:r>
      <w:r w:rsidRPr="00496867">
        <w:rPr>
          <w:rFonts w:cs="Calibri"/>
          <w:b/>
          <w:iCs/>
          <w:color w:val="000000"/>
          <w:lang w:val="el-GR"/>
        </w:rPr>
        <w:t xml:space="preserve"> και των επιχειρήσεων υδατοκαλλιέργειας. </w:t>
      </w:r>
      <w:r w:rsidRPr="00496867">
        <w:rPr>
          <w:rFonts w:cs="Calibri"/>
          <w:iCs/>
          <w:color w:val="000000"/>
          <w:lang w:val="el-GR"/>
        </w:rPr>
        <w:t>Η ενίσχυση αυτών των δύο οικονομικών δραστηριοτήτων συμβαδίζει με την αυξανόμενη σημαντικότητα τους στην Κύπρο –</w:t>
      </w:r>
      <w:r w:rsidR="00E94E09">
        <w:rPr>
          <w:rFonts w:cs="Calibri"/>
          <w:iCs/>
          <w:color w:val="000000"/>
          <w:lang w:val="el-GR"/>
        </w:rPr>
        <w:t xml:space="preserve"> </w:t>
      </w:r>
      <w:r w:rsidRPr="00496867">
        <w:rPr>
          <w:rFonts w:cs="Calibri"/>
          <w:iCs/>
          <w:color w:val="000000"/>
          <w:lang w:val="el-GR"/>
        </w:rPr>
        <w:t>ιδιαίτερα η υδατοκαλλιέργεια παρουσιάζει μία σταθερή ανάπτυξη περίπου 10% στην Κύπρο τα τελευταία 10 χρόνια, λόγω της προοπτικής ανάπτυξης και δημιουργίας θέσεων εργασίας μέσω της γαλάζιας οικονομίας αλλά και την ανάγκη βελτίωσης της ανταγωνιστικότητας της οικονομίας.</w:t>
      </w:r>
    </w:p>
    <w:p w14:paraId="5B5DAA74" w14:textId="34F4AFF0"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Ειδικότερα, στο πλαίσιο </w:t>
      </w:r>
      <w:r w:rsidRPr="00496867">
        <w:rPr>
          <w:rFonts w:cs="Calibri"/>
          <w:b/>
          <w:iCs/>
          <w:color w:val="000000"/>
          <w:lang w:val="el-GR"/>
        </w:rPr>
        <w:t xml:space="preserve">ενίσχυσης </w:t>
      </w:r>
      <w:r w:rsidR="00DB5A3A">
        <w:rPr>
          <w:rFonts w:cs="Calibri"/>
          <w:b/>
          <w:iCs/>
          <w:color w:val="000000"/>
          <w:lang w:val="el-GR"/>
        </w:rPr>
        <w:t>των αλιέων</w:t>
      </w:r>
      <w:r w:rsidRPr="00496867">
        <w:rPr>
          <w:rFonts w:cs="Calibri"/>
          <w:iCs/>
          <w:color w:val="000000"/>
          <w:lang w:val="el-GR"/>
        </w:rPr>
        <w:t xml:space="preserve"> προκηρύχθηκε </w:t>
      </w:r>
      <w:r w:rsidRPr="00496867">
        <w:rPr>
          <w:rFonts w:cs="Calibri"/>
          <w:b/>
          <w:iCs/>
          <w:color w:val="000000"/>
          <w:lang w:val="el-GR"/>
        </w:rPr>
        <w:t xml:space="preserve">πρόσκληση προϋπολογισμού €2 εκ. </w:t>
      </w:r>
      <w:r w:rsidRPr="00E94E09">
        <w:rPr>
          <w:rFonts w:cs="Calibri"/>
          <w:iCs/>
          <w:color w:val="000000"/>
          <w:lang w:val="el-GR"/>
        </w:rPr>
        <w:t>(Μέτρο 1.19</w:t>
      </w:r>
      <w:r w:rsidR="00E94E09" w:rsidRPr="00E94E09">
        <w:rPr>
          <w:rFonts w:cs="Calibri"/>
          <w:iCs/>
          <w:color w:val="000000"/>
          <w:lang w:val="el-GR"/>
        </w:rPr>
        <w:t xml:space="preserve"> - Άρθρο</w:t>
      </w:r>
      <w:r w:rsidRPr="00E94E09">
        <w:rPr>
          <w:rFonts w:cs="Calibri"/>
          <w:iCs/>
          <w:color w:val="000000"/>
          <w:lang w:val="el-GR"/>
        </w:rPr>
        <w:t xml:space="preserve"> 40.1 </w:t>
      </w:r>
      <w:r w:rsidR="00E94E09" w:rsidRPr="00E94E09">
        <w:rPr>
          <w:rFonts w:cs="Calibri"/>
          <w:iCs/>
          <w:color w:val="000000"/>
          <w:lang w:val="el-GR"/>
        </w:rPr>
        <w:t>(</w:t>
      </w:r>
      <w:r w:rsidRPr="00E94E09">
        <w:rPr>
          <w:rFonts w:cs="Calibri"/>
          <w:iCs/>
          <w:color w:val="000000"/>
          <w:lang w:val="el-GR"/>
        </w:rPr>
        <w:t>η)</w:t>
      </w:r>
      <w:r w:rsidR="00E94E09" w:rsidRPr="00E94E09">
        <w:rPr>
          <w:rFonts w:cs="Calibri"/>
          <w:iCs/>
          <w:color w:val="000000"/>
          <w:lang w:val="el-GR"/>
        </w:rPr>
        <w:t>),</w:t>
      </w:r>
      <w:r w:rsidRPr="00496867">
        <w:rPr>
          <w:rFonts w:cs="Calibri"/>
          <w:b/>
          <w:iCs/>
          <w:color w:val="000000"/>
          <w:lang w:val="el-GR"/>
        </w:rPr>
        <w:t xml:space="preserve"> </w:t>
      </w:r>
      <w:r w:rsidRPr="00496867">
        <w:rPr>
          <w:rFonts w:cs="Calibri"/>
          <w:iCs/>
          <w:color w:val="000000"/>
          <w:lang w:val="el-GR"/>
        </w:rPr>
        <w:t xml:space="preserve">που αφορά στην </w:t>
      </w:r>
      <w:r w:rsidRPr="00496867">
        <w:rPr>
          <w:rFonts w:cs="Calibri"/>
          <w:b/>
          <w:iCs/>
          <w:color w:val="000000"/>
          <w:lang w:val="el-GR"/>
        </w:rPr>
        <w:t>αποζημίωση ζημιών που προκαλούνται στα αλιεύματα από προστατευόμενα θηλαστικά</w:t>
      </w:r>
      <w:r w:rsidRPr="00496867">
        <w:rPr>
          <w:rFonts w:cs="Calibri"/>
          <w:iCs/>
          <w:color w:val="000000"/>
          <w:lang w:val="el-GR"/>
        </w:rPr>
        <w:t xml:space="preserve">. Στο πλαίσιο αυτής </w:t>
      </w:r>
      <w:r w:rsidRPr="00496867">
        <w:rPr>
          <w:rFonts w:cs="Calibri"/>
          <w:b/>
          <w:iCs/>
          <w:color w:val="000000"/>
          <w:lang w:val="el-GR"/>
        </w:rPr>
        <w:t>εντάχθηκαν 336 έργα</w:t>
      </w:r>
      <w:r w:rsidRPr="00496867">
        <w:rPr>
          <w:rFonts w:cs="Calibri"/>
          <w:iCs/>
          <w:color w:val="000000"/>
          <w:lang w:val="el-GR"/>
        </w:rPr>
        <w:t xml:space="preserve"> συνολικού προϋπολογισμού €1,78 εκ., τα οποία </w:t>
      </w:r>
      <w:r w:rsidRPr="00496867">
        <w:rPr>
          <w:rFonts w:cs="Calibri"/>
          <w:b/>
          <w:iCs/>
          <w:color w:val="000000"/>
          <w:lang w:val="el-GR"/>
        </w:rPr>
        <w:t>μέχρι την 31/12/2016 είχαν μηδενικό αποτύπωμα στο πλαίσιο επίδοσης</w:t>
      </w:r>
      <w:r w:rsidRPr="00496867">
        <w:rPr>
          <w:rFonts w:cs="Calibri"/>
          <w:iCs/>
          <w:color w:val="000000"/>
          <w:lang w:val="el-GR"/>
        </w:rPr>
        <w:t xml:space="preserve">, αλλά </w:t>
      </w:r>
      <w:r w:rsidRPr="00496867">
        <w:rPr>
          <w:rFonts w:cs="Calibri"/>
          <w:b/>
          <w:iCs/>
          <w:color w:val="000000"/>
          <w:lang w:val="el-GR"/>
        </w:rPr>
        <w:t>όταν ολοκληρωθούν</w:t>
      </w:r>
      <w:r w:rsidRPr="00496867">
        <w:rPr>
          <w:rFonts w:cs="Calibri"/>
          <w:iCs/>
          <w:color w:val="000000"/>
          <w:lang w:val="el-GR"/>
        </w:rPr>
        <w:t xml:space="preserve"> </w:t>
      </w:r>
      <w:r w:rsidRPr="00496867">
        <w:rPr>
          <w:rFonts w:cs="Calibri"/>
          <w:b/>
          <w:iCs/>
          <w:color w:val="000000"/>
          <w:lang w:val="el-GR"/>
        </w:rPr>
        <w:t>θα συμβάλουν στην κάλυψη της τιμής στόχου του αντίστοιχου δείκτη εκροών 1.6 του πλαισίου επίδοσης</w:t>
      </w:r>
      <w:r w:rsidRPr="00496867">
        <w:rPr>
          <w:rFonts w:cs="Calibri"/>
          <w:iCs/>
          <w:color w:val="000000"/>
          <w:lang w:val="el-GR"/>
        </w:rPr>
        <w:t xml:space="preserve">. Μέχρι το </w:t>
      </w:r>
      <w:r w:rsidRPr="00496867">
        <w:rPr>
          <w:rFonts w:cs="Calibri"/>
          <w:b/>
          <w:iCs/>
          <w:color w:val="000000"/>
          <w:lang w:val="el-GR"/>
        </w:rPr>
        <w:t>Μάρτιο του 2017</w:t>
      </w:r>
      <w:r w:rsidRPr="00496867">
        <w:rPr>
          <w:rFonts w:cs="Calibri"/>
          <w:iCs/>
          <w:color w:val="000000"/>
          <w:lang w:val="el-GR"/>
        </w:rPr>
        <w:t xml:space="preserve"> εντάχθηκαν επιπλέον 3 έργα με προϋπολογισμό €12,8 χιλ. ενώ συνολικά είχαν καταβληθεί στους δικαιούχους ενισχύσεις ύψους €323 χιλ. </w:t>
      </w:r>
    </w:p>
    <w:p w14:paraId="336118E1" w14:textId="161B429B"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Στο </w:t>
      </w:r>
      <w:r w:rsidRPr="00496867">
        <w:rPr>
          <w:rFonts w:cs="Calibri"/>
          <w:b/>
          <w:iCs/>
          <w:color w:val="000000"/>
          <w:lang w:val="el-GR"/>
        </w:rPr>
        <w:t>πλαίσιο ενίσχυσης των παραγωγικών επενδύσεων στην Υδατοκαλλιέργεια</w:t>
      </w:r>
      <w:r w:rsidRPr="00496867">
        <w:rPr>
          <w:rFonts w:cs="Calibri"/>
          <w:iCs/>
          <w:color w:val="000000"/>
          <w:lang w:val="el-GR"/>
        </w:rPr>
        <w:t xml:space="preserve"> (Μέτρο 2.2. – </w:t>
      </w:r>
      <w:r w:rsidR="00E94E09">
        <w:rPr>
          <w:rFonts w:cs="Calibri"/>
          <w:iCs/>
          <w:color w:val="000000"/>
          <w:lang w:val="el-GR"/>
        </w:rPr>
        <w:t>Άρθρο</w:t>
      </w:r>
      <w:r w:rsidRPr="00496867">
        <w:rPr>
          <w:rFonts w:cs="Calibri"/>
          <w:iCs/>
          <w:color w:val="000000"/>
          <w:lang w:val="el-GR"/>
        </w:rPr>
        <w:t xml:space="preserve"> 48.1 α-δ, στ, η), προκηρύχθηκαν </w:t>
      </w:r>
      <w:r w:rsidRPr="00496867">
        <w:rPr>
          <w:rFonts w:cs="Calibri"/>
          <w:b/>
          <w:iCs/>
          <w:color w:val="000000"/>
          <w:lang w:val="el-GR"/>
        </w:rPr>
        <w:t>δύο Προσκλήσεις συνολικού Προϋπολογισμού €1,4 εκ.</w:t>
      </w:r>
      <w:r w:rsidRPr="00496867">
        <w:rPr>
          <w:rFonts w:cs="Calibri"/>
          <w:iCs/>
          <w:color w:val="000000"/>
          <w:lang w:val="el-GR"/>
        </w:rPr>
        <w:t xml:space="preserve"> που συγκέντρωσαν 12 αιτήσεις συνολικού εκτιμώμενου προϋπολογισμού €3,875 εκ. Μέχρι την 31/12/2016 αυτά τα έργα είχαν μηδενικό αποτύπωμα στο πλαίσιο επίδοσης, αλλά όταν ολοκληρωθούν </w:t>
      </w:r>
      <w:r w:rsidRPr="00496867">
        <w:rPr>
          <w:rFonts w:cs="Calibri"/>
          <w:b/>
          <w:iCs/>
          <w:color w:val="000000"/>
          <w:lang w:val="el-GR"/>
        </w:rPr>
        <w:t>θα συμβάλουν στην κάλυψη της τιμής στόχου του αντίστοιχου δείκτη εκροών 2.2 του πλαισίου επίδοσης</w:t>
      </w:r>
      <w:r w:rsidRPr="00496867">
        <w:rPr>
          <w:rFonts w:cs="Calibri"/>
          <w:iCs/>
          <w:color w:val="000000"/>
          <w:lang w:val="el-GR"/>
        </w:rPr>
        <w:t xml:space="preserve">. </w:t>
      </w:r>
      <w:r w:rsidRPr="00496867">
        <w:rPr>
          <w:rFonts w:cs="Calibri"/>
          <w:b/>
          <w:iCs/>
          <w:color w:val="000000"/>
          <w:lang w:val="el-GR"/>
        </w:rPr>
        <w:t>Αρχές του 2017 διαφάνηκε</w:t>
      </w:r>
      <w:r w:rsidRPr="00496867">
        <w:rPr>
          <w:rFonts w:cs="Calibri"/>
          <w:iCs/>
          <w:color w:val="000000"/>
          <w:lang w:val="el-GR"/>
        </w:rPr>
        <w:t xml:space="preserve"> </w:t>
      </w:r>
      <w:r w:rsidRPr="00496867">
        <w:rPr>
          <w:rFonts w:cs="Calibri"/>
          <w:b/>
          <w:iCs/>
          <w:color w:val="000000"/>
          <w:lang w:val="el-GR"/>
        </w:rPr>
        <w:t>η ανάγκη αύξησης του Προϋπολογισμού</w:t>
      </w:r>
      <w:r w:rsidRPr="00496867">
        <w:rPr>
          <w:rFonts w:cs="Calibri"/>
          <w:iCs/>
          <w:color w:val="000000"/>
          <w:lang w:val="el-GR"/>
        </w:rPr>
        <w:t xml:space="preserve"> της δράσ</w:t>
      </w:r>
      <w:r w:rsidR="00FE0A9C">
        <w:rPr>
          <w:rFonts w:cs="Calibri"/>
          <w:iCs/>
          <w:color w:val="000000"/>
          <w:lang w:val="el-GR"/>
        </w:rPr>
        <w:t>ης ενίσχυσης των επενδύσεων στη</w:t>
      </w:r>
      <w:r w:rsidR="00FE0A9C" w:rsidRPr="00FE0A9C">
        <w:rPr>
          <w:rFonts w:cs="Calibri"/>
          <w:iCs/>
          <w:color w:val="000000"/>
          <w:lang w:val="el-GR"/>
        </w:rPr>
        <w:t xml:space="preserve"> </w:t>
      </w:r>
      <w:r w:rsidR="00FE0A9C">
        <w:rPr>
          <w:rFonts w:cs="Calibri"/>
          <w:iCs/>
          <w:color w:val="000000"/>
          <w:lang w:val="el-GR"/>
        </w:rPr>
        <w:t>θαλάσσια υ</w:t>
      </w:r>
      <w:r w:rsidRPr="00496867">
        <w:rPr>
          <w:rFonts w:cs="Calibri"/>
          <w:iCs/>
          <w:color w:val="000000"/>
          <w:lang w:val="el-GR"/>
        </w:rPr>
        <w:t xml:space="preserve">δατοκαλλιέργεια κατά </w:t>
      </w:r>
      <w:r w:rsidRPr="00AD484A">
        <w:rPr>
          <w:rFonts w:cs="Calibri"/>
          <w:b/>
          <w:iCs/>
          <w:color w:val="000000"/>
          <w:lang w:val="el-GR"/>
        </w:rPr>
        <w:t>€</w:t>
      </w:r>
      <w:r w:rsidR="002F6B84" w:rsidRPr="002F6B84">
        <w:rPr>
          <w:rFonts w:cs="Calibri"/>
          <w:b/>
          <w:iCs/>
          <w:color w:val="000000"/>
          <w:lang w:val="el-GR"/>
        </w:rPr>
        <w:t>7</w:t>
      </w:r>
      <w:r w:rsidRPr="00496867">
        <w:rPr>
          <w:rFonts w:cs="Calibri"/>
          <w:b/>
          <w:iCs/>
          <w:color w:val="000000"/>
          <w:lang w:val="el-GR"/>
        </w:rPr>
        <w:t>00 χιλ.</w:t>
      </w:r>
      <w:r w:rsidRPr="00496867">
        <w:rPr>
          <w:rFonts w:cs="Calibri"/>
          <w:iCs/>
          <w:color w:val="000000"/>
          <w:lang w:val="el-GR"/>
        </w:rPr>
        <w:t xml:space="preserve">, </w:t>
      </w:r>
      <w:r w:rsidRPr="00496867">
        <w:rPr>
          <w:rFonts w:cs="Calibri"/>
          <w:iCs/>
          <w:color w:val="000000"/>
          <w:lang w:val="el-GR"/>
        </w:rPr>
        <w:lastRenderedPageBreak/>
        <w:t>λαμβάνοντας υπ’ όψη τη</w:t>
      </w:r>
      <w:r w:rsidR="00FE0A9C">
        <w:rPr>
          <w:rFonts w:cs="Calibri"/>
          <w:iCs/>
          <w:color w:val="000000"/>
          <w:lang w:val="el-GR"/>
        </w:rPr>
        <w:t>ν</w:t>
      </w:r>
      <w:r w:rsidRPr="00496867">
        <w:rPr>
          <w:rFonts w:cs="Calibri"/>
          <w:iCs/>
          <w:color w:val="000000"/>
          <w:lang w:val="el-GR"/>
        </w:rPr>
        <w:t xml:space="preserve"> αυξημένη σημασία του τομέα για την οικονομία και το γεγονός ότι συμπεριλαμβάνεται στο πλαίσιο επίδοσης (ως αριθμός έργων). </w:t>
      </w:r>
    </w:p>
    <w:p w14:paraId="2F04496E" w14:textId="4D440CC4"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Επιπλέον, το </w:t>
      </w:r>
      <w:r w:rsidRPr="00496867">
        <w:rPr>
          <w:rFonts w:cs="Calibri"/>
          <w:b/>
          <w:iCs/>
          <w:color w:val="000000"/>
          <w:lang w:val="el-GR"/>
        </w:rPr>
        <w:t>Φεβρουάριο του 2017</w:t>
      </w:r>
      <w:r w:rsidRPr="00496867">
        <w:rPr>
          <w:rFonts w:cs="Calibri"/>
          <w:iCs/>
          <w:color w:val="000000"/>
          <w:lang w:val="el-GR"/>
        </w:rPr>
        <w:t xml:space="preserve"> προκηρύχθηκε η 1</w:t>
      </w:r>
      <w:r w:rsidRPr="00496867">
        <w:rPr>
          <w:rFonts w:cs="Calibri"/>
          <w:iCs/>
          <w:color w:val="000000"/>
          <w:vertAlign w:val="superscript"/>
          <w:lang w:val="el-GR"/>
        </w:rPr>
        <w:t>η</w:t>
      </w:r>
      <w:r w:rsidRPr="00496867">
        <w:rPr>
          <w:rFonts w:cs="Calibri"/>
          <w:iCs/>
          <w:color w:val="000000"/>
          <w:lang w:val="el-GR"/>
        </w:rPr>
        <w:t xml:space="preserve"> Πρόσκληση που αφορά έργα για τη βελτίωση των αλιευτικών καταφυγίων (Μέτρο 1.23 – Αρ. 43.1 και 3)  με </w:t>
      </w:r>
      <w:r w:rsidRPr="00496867">
        <w:rPr>
          <w:rFonts w:cs="Calibri"/>
          <w:b/>
          <w:iCs/>
          <w:color w:val="000000"/>
          <w:lang w:val="el-GR"/>
        </w:rPr>
        <w:t>προϋπολογισμό €7,5 εκατ</w:t>
      </w:r>
      <w:r w:rsidRPr="00496867">
        <w:rPr>
          <w:rFonts w:cs="Calibri"/>
          <w:iCs/>
          <w:color w:val="000000"/>
          <w:lang w:val="el-GR"/>
        </w:rPr>
        <w:t>.</w:t>
      </w:r>
      <w:r w:rsidR="00E94E09">
        <w:rPr>
          <w:rFonts w:cs="Calibri"/>
          <w:iCs/>
          <w:color w:val="000000"/>
          <w:lang w:val="el-GR"/>
        </w:rPr>
        <w:t>,</w:t>
      </w:r>
      <w:r w:rsidRPr="00496867">
        <w:rPr>
          <w:rFonts w:cs="Calibri"/>
          <w:iCs/>
          <w:color w:val="000000"/>
          <w:lang w:val="el-GR"/>
        </w:rPr>
        <w:t xml:space="preserve"> που θα συμβάλει στο </w:t>
      </w:r>
      <w:r w:rsidRPr="00496867">
        <w:rPr>
          <w:rFonts w:cs="Calibri"/>
          <w:b/>
          <w:iCs/>
          <w:color w:val="000000"/>
          <w:lang w:val="el-GR"/>
        </w:rPr>
        <w:t>δείκτη 1.3 του πλαισίου επίδοσης</w:t>
      </w:r>
      <w:r w:rsidRPr="00496867">
        <w:rPr>
          <w:rFonts w:cs="Calibri"/>
          <w:iCs/>
          <w:color w:val="000000"/>
          <w:lang w:val="el-GR"/>
        </w:rPr>
        <w:t>.</w:t>
      </w:r>
    </w:p>
    <w:p w14:paraId="5281C4B2" w14:textId="39D6A00E" w:rsidR="00496867" w:rsidRPr="00496867" w:rsidRDefault="00496867" w:rsidP="00496867">
      <w:pPr>
        <w:ind w:left="709"/>
        <w:jc w:val="both"/>
        <w:rPr>
          <w:rFonts w:cs="Calibri"/>
          <w:iCs/>
          <w:color w:val="000000"/>
          <w:lang w:val="el-GR"/>
        </w:rPr>
      </w:pPr>
      <w:r w:rsidRPr="00496867">
        <w:rPr>
          <w:rFonts w:cs="Calibri"/>
          <w:iCs/>
          <w:color w:val="000000"/>
          <w:lang w:val="el-GR"/>
        </w:rPr>
        <w:t>Τ</w:t>
      </w:r>
      <w:r w:rsidR="00E94E09">
        <w:rPr>
          <w:rFonts w:cs="Calibri"/>
          <w:iCs/>
          <w:color w:val="000000"/>
          <w:lang w:val="el-GR"/>
        </w:rPr>
        <w:t>έλος</w:t>
      </w:r>
      <w:r w:rsidRPr="00496867">
        <w:rPr>
          <w:rFonts w:cs="Calibri"/>
          <w:iCs/>
          <w:color w:val="000000"/>
          <w:lang w:val="el-GR"/>
        </w:rPr>
        <w:t xml:space="preserve">, το Μάρτιο του 2017 </w:t>
      </w:r>
      <w:r w:rsidRPr="00496867">
        <w:rPr>
          <w:rFonts w:cs="Calibri"/>
          <w:b/>
          <w:iCs/>
          <w:color w:val="000000"/>
          <w:lang w:val="el-GR"/>
        </w:rPr>
        <w:t xml:space="preserve">το σύνολο των ενεργοποιημένων πόρων του </w:t>
      </w:r>
      <w:r w:rsidR="00FE0A9C">
        <w:rPr>
          <w:rFonts w:cs="Calibri"/>
          <w:b/>
          <w:iCs/>
          <w:color w:val="000000"/>
          <w:lang w:val="el-GR"/>
        </w:rPr>
        <w:t>Ε.Π. «Θάλασσα» 2014-2020 στο Θ.Σ. 3 ανερχόταν σε €11,6</w:t>
      </w:r>
      <w:r w:rsidRPr="00496867">
        <w:rPr>
          <w:rFonts w:cs="Calibri"/>
          <w:b/>
          <w:iCs/>
          <w:color w:val="000000"/>
          <w:lang w:val="el-GR"/>
        </w:rPr>
        <w:t xml:space="preserve"> εκατ., ήτοι </w:t>
      </w:r>
      <w:r w:rsidR="00FE0A9C">
        <w:rPr>
          <w:rFonts w:cs="Calibri"/>
          <w:b/>
          <w:iCs/>
          <w:color w:val="000000"/>
          <w:lang w:val="el-GR"/>
        </w:rPr>
        <w:t>89,02</w:t>
      </w:r>
      <w:r w:rsidRPr="00496867">
        <w:rPr>
          <w:rFonts w:cs="Calibri"/>
          <w:b/>
          <w:iCs/>
          <w:color w:val="000000"/>
          <w:lang w:val="el-GR"/>
        </w:rPr>
        <w:t>%</w:t>
      </w:r>
      <w:r w:rsidR="00FE0A9C">
        <w:rPr>
          <w:rFonts w:cs="Calibri"/>
          <w:b/>
          <w:iCs/>
          <w:color w:val="000000"/>
          <w:lang w:val="el-GR"/>
        </w:rPr>
        <w:t xml:space="preserve"> της Συνολικής Δημόσιας Δαπάνης</w:t>
      </w:r>
      <w:r w:rsidRPr="00496867">
        <w:rPr>
          <w:rFonts w:cs="Calibri"/>
          <w:iCs/>
          <w:color w:val="000000"/>
          <w:lang w:val="el-GR"/>
        </w:rPr>
        <w:t xml:space="preserve">. </w:t>
      </w:r>
      <w:r w:rsidRPr="00496867">
        <w:rPr>
          <w:rFonts w:cs="Calibri"/>
          <w:b/>
          <w:iCs/>
          <w:color w:val="000000"/>
          <w:u w:val="single"/>
          <w:lang w:val="el-GR"/>
        </w:rPr>
        <w:t>Αξίζει να σημειωθεί ότι</w:t>
      </w:r>
      <w:r w:rsidRPr="00496867">
        <w:rPr>
          <w:rFonts w:cs="Calibri"/>
          <w:iCs/>
          <w:color w:val="000000"/>
          <w:lang w:val="el-GR"/>
        </w:rPr>
        <w:t xml:space="preserve"> </w:t>
      </w:r>
      <w:r w:rsidRPr="00496867">
        <w:rPr>
          <w:rFonts w:cs="Calibri"/>
          <w:b/>
          <w:iCs/>
          <w:color w:val="000000"/>
          <w:lang w:val="el-GR"/>
        </w:rPr>
        <w:t xml:space="preserve">προβλέπεται να γίνει τροποποίηση και προσαρμογή στους Δείκτες Αποτελέσματος και τους στόχους </w:t>
      </w:r>
      <w:r w:rsidR="00FE0A9C">
        <w:rPr>
          <w:rFonts w:cs="Calibri"/>
          <w:b/>
          <w:iCs/>
          <w:color w:val="000000"/>
          <w:lang w:val="el-GR"/>
        </w:rPr>
        <w:t xml:space="preserve">τους </w:t>
      </w:r>
      <w:r w:rsidRPr="00496867">
        <w:rPr>
          <w:rFonts w:cs="Calibri"/>
          <w:b/>
          <w:iCs/>
          <w:color w:val="000000"/>
          <w:lang w:val="el-GR"/>
        </w:rPr>
        <w:t>για το 2023</w:t>
      </w:r>
      <w:r w:rsidRPr="00496867">
        <w:rPr>
          <w:rFonts w:cs="Calibri"/>
          <w:iCs/>
          <w:color w:val="000000"/>
          <w:lang w:val="el-GR"/>
        </w:rPr>
        <w:t xml:space="preserve">, λαμβάνοντας υπόψη της τελική έκδοση του εγγράφου </w:t>
      </w:r>
      <w:r w:rsidRPr="00496867">
        <w:rPr>
          <w:rFonts w:cs="Calibri"/>
          <w:iCs/>
          <w:color w:val="000000"/>
        </w:rPr>
        <w:t>FAME</w:t>
      </w:r>
      <w:r w:rsidRPr="00496867">
        <w:rPr>
          <w:rFonts w:cs="Calibri"/>
          <w:iCs/>
          <w:color w:val="000000"/>
          <w:lang w:val="el-GR"/>
        </w:rPr>
        <w:t xml:space="preserve"> </w:t>
      </w:r>
      <w:r w:rsidRPr="00496867">
        <w:rPr>
          <w:rFonts w:cs="Calibri"/>
          <w:iCs/>
          <w:color w:val="000000"/>
        </w:rPr>
        <w:t>Support</w:t>
      </w:r>
      <w:r w:rsidRPr="00496867">
        <w:rPr>
          <w:rFonts w:cs="Calibri"/>
          <w:iCs/>
          <w:color w:val="000000"/>
          <w:lang w:val="el-GR"/>
        </w:rPr>
        <w:t xml:space="preserve"> </w:t>
      </w:r>
      <w:r w:rsidRPr="00496867">
        <w:rPr>
          <w:rFonts w:cs="Calibri"/>
          <w:iCs/>
          <w:color w:val="000000"/>
        </w:rPr>
        <w:t>Unit</w:t>
      </w:r>
      <w:r w:rsidRPr="00496867">
        <w:rPr>
          <w:rFonts w:cs="Calibri"/>
          <w:iCs/>
          <w:color w:val="000000"/>
          <w:lang w:val="el-GR"/>
        </w:rPr>
        <w:t xml:space="preserve"> “</w:t>
      </w:r>
      <w:r w:rsidRPr="00496867">
        <w:rPr>
          <w:rFonts w:cs="Calibri"/>
          <w:iCs/>
          <w:color w:val="000000"/>
        </w:rPr>
        <w:t>Definitions</w:t>
      </w:r>
      <w:r w:rsidRPr="00496867">
        <w:rPr>
          <w:rFonts w:cs="Calibri"/>
          <w:iCs/>
          <w:color w:val="000000"/>
          <w:lang w:val="el-GR"/>
        </w:rPr>
        <w:t xml:space="preserve"> </w:t>
      </w:r>
      <w:r w:rsidRPr="00496867">
        <w:rPr>
          <w:rFonts w:cs="Calibri"/>
          <w:iCs/>
          <w:color w:val="000000"/>
        </w:rPr>
        <w:t>of</w:t>
      </w:r>
      <w:r w:rsidRPr="00496867">
        <w:rPr>
          <w:rFonts w:cs="Calibri"/>
          <w:iCs/>
          <w:color w:val="000000"/>
          <w:lang w:val="el-GR"/>
        </w:rPr>
        <w:t xml:space="preserve"> </w:t>
      </w:r>
      <w:r w:rsidRPr="00496867">
        <w:rPr>
          <w:rFonts w:cs="Calibri"/>
          <w:iCs/>
          <w:color w:val="000000"/>
        </w:rPr>
        <w:t>Common</w:t>
      </w:r>
      <w:r w:rsidRPr="00496867">
        <w:rPr>
          <w:rFonts w:cs="Calibri"/>
          <w:iCs/>
          <w:color w:val="000000"/>
          <w:lang w:val="el-GR"/>
        </w:rPr>
        <w:t xml:space="preserve"> </w:t>
      </w:r>
      <w:r w:rsidRPr="00496867">
        <w:rPr>
          <w:rFonts w:cs="Calibri"/>
          <w:iCs/>
          <w:color w:val="000000"/>
        </w:rPr>
        <w:t>Indicators</w:t>
      </w:r>
      <w:r w:rsidRPr="00496867">
        <w:rPr>
          <w:rFonts w:cs="Calibri"/>
          <w:iCs/>
          <w:color w:val="000000"/>
          <w:lang w:val="el-GR"/>
        </w:rPr>
        <w:t>”.</w:t>
      </w:r>
    </w:p>
    <w:p w14:paraId="5763C24B" w14:textId="77777777" w:rsidR="00496867" w:rsidRPr="00496867" w:rsidRDefault="00496867" w:rsidP="00496867">
      <w:pPr>
        <w:ind w:left="709"/>
        <w:jc w:val="both"/>
        <w:rPr>
          <w:rFonts w:cs="Calibri"/>
          <w:iCs/>
          <w:lang w:val="el-GR"/>
        </w:rPr>
      </w:pPr>
      <w:r w:rsidRPr="00496867">
        <w:rPr>
          <w:rFonts w:cs="Calibri"/>
          <w:iCs/>
          <w:lang w:val="el-GR"/>
        </w:rPr>
        <w:t>Τέλος, όσον αφορά στο</w:t>
      </w:r>
      <w:r w:rsidRPr="00496867">
        <w:rPr>
          <w:rFonts w:cs="Calibri"/>
          <w:b/>
          <w:iCs/>
          <w:lang w:val="el-GR"/>
        </w:rPr>
        <w:t xml:space="preserve"> ΕΓΤΑΑ</w:t>
      </w:r>
      <w:r w:rsidRPr="00496867">
        <w:rPr>
          <w:rFonts w:cs="Calibri"/>
          <w:iCs/>
          <w:lang w:val="el-GR"/>
        </w:rPr>
        <w:t xml:space="preserve">, επιδιώκεται η βελτίωση της ηλικιακής διάρθρωσης των γεωργών, η αύξηση  της  ανταγωνιστικότητας  του  τομέα  και η ενίσχυση  της  βιωσιμότητας  των  εκμεταλλεύσεων, η αύξηση της ανταγωνιστικότητας της μεταποίησης και η δημιουργία εναλλακτικών πηγών εισοδήματος σε αγροτικές περιοχές. </w:t>
      </w:r>
    </w:p>
    <w:p w14:paraId="2921AB16" w14:textId="77777777" w:rsidR="00496867" w:rsidRPr="0002568F" w:rsidRDefault="00496867" w:rsidP="00496867">
      <w:pPr>
        <w:ind w:left="709"/>
        <w:jc w:val="both"/>
        <w:rPr>
          <w:rFonts w:cs="Calibri"/>
          <w:iCs/>
          <w:lang w:val="el-GR"/>
        </w:rPr>
      </w:pPr>
      <w:r w:rsidRPr="00496867">
        <w:rPr>
          <w:rFonts w:cs="Calibri"/>
          <w:iCs/>
          <w:lang w:val="el-GR"/>
        </w:rPr>
        <w:t xml:space="preserve">Το 2016 ολοκληρώθηκαν </w:t>
      </w:r>
      <w:r w:rsidRPr="00496867">
        <w:rPr>
          <w:rFonts w:cs="Calibri"/>
          <w:b/>
          <w:iCs/>
          <w:lang w:val="el-GR"/>
        </w:rPr>
        <w:t>14 εγκεκριμένα στο ΠΑΑ 2007-2013</w:t>
      </w:r>
      <w:r w:rsidRPr="00496867">
        <w:rPr>
          <w:rFonts w:cs="Calibri"/>
          <w:iCs/>
          <w:lang w:val="el-GR"/>
        </w:rPr>
        <w:t xml:space="preserve"> Σχέδια νέων γεωργών (11 άντρες και  3 γυναίκες), με πραγματοποιηθείσες δαπάνες ύψους 195.000€. Επίσης έγινε η πρώτη προκήρυξη του Μέτρου 6.1 «Ενίσχυση πρώτης εγκατάστασης νέων γεωργών» του ΠΑΑ 2014-2020 με υποδοχή 270 αιτήσεων που υπερκάλυψαν τη δημόσια δαπάνη της πρόσκλησης των €3,5 εκ. και οι οποίες βρίσκονται υπό αξιολόγηση. Επιπλέον, εντός του 2016</w:t>
      </w:r>
      <w:r w:rsidRPr="00496867">
        <w:rPr>
          <w:lang w:val="el-GR"/>
        </w:rPr>
        <w:t xml:space="preserve"> </w:t>
      </w:r>
      <w:r w:rsidRPr="00496867">
        <w:rPr>
          <w:rFonts w:cs="Calibri"/>
          <w:iCs/>
          <w:lang w:val="el-GR"/>
        </w:rPr>
        <w:t xml:space="preserve">υποβλήθηκαν 604 αιτήσεις στο Καθεστώς 4.1 που αφορά επενδύσεις γεωργικών εκμεταλλεύσεων, που υπερκάλυψαν τον προϋπολογισμό της πρόσκλησης που ήταν €20 εκ., και  η έγκριση τους αναμένεται έως το τέλος του τρέχοντος έτους. </w:t>
      </w:r>
      <w:r w:rsidR="0002568F" w:rsidRPr="0002568F">
        <w:rPr>
          <w:rFonts w:cs="Calibri"/>
          <w:iCs/>
          <w:lang w:val="el-GR"/>
        </w:rPr>
        <w:t xml:space="preserve">Επίσης εντός του 2016, στο πλαίσιο του Καθεστώτος 4.1, καταβλήθηκαν πληρωμές για ανειλημμένες υποχρεώσεις του ΠΑΑ 2007-2013 για 33 έργα με συνολικό ποσό €2,7 εκατ. </w:t>
      </w:r>
      <w:r w:rsidRPr="00496867">
        <w:rPr>
          <w:rFonts w:cs="Calibri"/>
          <w:iCs/>
          <w:lang w:val="el-GR"/>
        </w:rPr>
        <w:t>Τέλος, έγινε υποδοχή 204 αιτήσεων για επενδύσεις μεταποίησης με αιτηθέν μέγεθος χρηματοδότησης σημαντικά πολλαπλάσιο της διατιθέμενης δημόσιας χρηματοδότησης ύψους €10 εκ., ενώ ολοκληρώθηκαν και 2 έργα της περιόδου 2007-2013 με πληρωμές ύψους €137.277.</w:t>
      </w:r>
    </w:p>
    <w:p w14:paraId="0BAD3DCB" w14:textId="77777777" w:rsidR="00496867" w:rsidRPr="00496867" w:rsidRDefault="00496867" w:rsidP="00E94E09">
      <w:pPr>
        <w:numPr>
          <w:ilvl w:val="0"/>
          <w:numId w:val="15"/>
        </w:numPr>
        <w:ind w:left="709" w:hanging="283"/>
        <w:jc w:val="both"/>
        <w:rPr>
          <w:rFonts w:cs="Calibri"/>
          <w:b/>
          <w:i/>
          <w:iCs/>
          <w:color w:val="000000"/>
          <w:u w:val="single"/>
          <w:lang w:val="el-GR"/>
        </w:rPr>
      </w:pPr>
      <w:r w:rsidRPr="00496867">
        <w:rPr>
          <w:rFonts w:cs="Calibri"/>
          <w:b/>
          <w:i/>
          <w:iCs/>
          <w:color w:val="000000"/>
          <w:u w:val="single"/>
          <w:lang w:val="el-GR"/>
        </w:rPr>
        <w:t>Μεταφορές και Βασικές υποδομές Δικτύων (Θ.Σ. 7)</w:t>
      </w:r>
    </w:p>
    <w:p w14:paraId="10283D36" w14:textId="56EE2388"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Η στρατηγική σχετικά με την αναδιάρθρωση της Κυπριακής οικονομίας συμπληρώνεται από την κάλυψη των αναγκών της χώρας στον τομέα της αστικής κινητικότητας και στα Διευρωπαϊκά Δίκτυα Μεταφοράς, ως τομείς που θα ενισχύσουν την ανταγωνιστικότητά της. Περίπου το </w:t>
      </w:r>
      <w:r w:rsidRPr="00496867">
        <w:rPr>
          <w:rFonts w:cs="Calibri"/>
          <w:b/>
          <w:iCs/>
          <w:color w:val="000000"/>
          <w:lang w:val="el-GR"/>
        </w:rPr>
        <w:t>11,35% των πόρων της ΣΕΣ αφιερώνεται μέσω των ΕΔΕΤ σε στοχευμένες παρεμβάσεις</w:t>
      </w:r>
      <w:r w:rsidRPr="00496867">
        <w:rPr>
          <w:rFonts w:cs="Calibri"/>
          <w:iCs/>
          <w:color w:val="000000"/>
          <w:lang w:val="el-GR"/>
        </w:rPr>
        <w:t xml:space="preserve"> που επιδιώκουν την προώθηση της βιώσιμης αστικής κινητικότητας στα 4 σημαντικά αστικά κέντρα της Κύπρου και την συμπλήρωση των αναγκαίων υποδομών για την ολοκλήρωση του Διευρωπαϊκού Δικτύου Μεταφορών.</w:t>
      </w:r>
    </w:p>
    <w:p w14:paraId="72C0F763" w14:textId="750353E6"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Ειδικότερα, </w:t>
      </w:r>
      <w:r w:rsidRPr="00496867">
        <w:rPr>
          <w:rFonts w:cs="Calibri"/>
          <w:b/>
          <w:iCs/>
          <w:color w:val="000000"/>
          <w:lang w:val="el-GR"/>
        </w:rPr>
        <w:t xml:space="preserve">μέσω των πόρων του ΕΤΠΑ επιδιώκεται </w:t>
      </w:r>
      <w:r w:rsidRPr="00496867">
        <w:rPr>
          <w:rFonts w:cs="Calibri"/>
          <w:iCs/>
          <w:color w:val="000000"/>
          <w:lang w:val="el-GR"/>
        </w:rPr>
        <w:t xml:space="preserve">η βελτίωση της αστικής κινητικότητας με συστήματα μεταφορών φιλικά προς το περιβάλλον που θα συμβάλλουν στη μείωση των εκπομπών των αερίων του θερμοκηπίου που προέρχονται από τον τομέα των Μεταφορών. </w:t>
      </w:r>
      <w:r w:rsidRPr="00E94E09">
        <w:rPr>
          <w:rFonts w:cs="Calibri"/>
          <w:b/>
          <w:iCs/>
          <w:color w:val="000000"/>
          <w:lang w:val="el-GR"/>
        </w:rPr>
        <w:t xml:space="preserve">Μέχρι </w:t>
      </w:r>
      <w:r w:rsidR="00E94E09" w:rsidRPr="00E94E09">
        <w:rPr>
          <w:rFonts w:cs="Calibri"/>
          <w:b/>
          <w:iCs/>
          <w:color w:val="000000"/>
          <w:lang w:val="el-GR"/>
        </w:rPr>
        <w:t>τις</w:t>
      </w:r>
      <w:r w:rsidRPr="00E94E09">
        <w:rPr>
          <w:rFonts w:cs="Calibri"/>
          <w:b/>
          <w:iCs/>
          <w:color w:val="000000"/>
          <w:lang w:val="el-GR"/>
        </w:rPr>
        <w:t xml:space="preserve"> 31/12/2016 είχε ενεργοποιηθεί το </w:t>
      </w:r>
      <w:r w:rsidR="009E12C7" w:rsidRPr="00E94E09">
        <w:rPr>
          <w:rFonts w:cs="Calibri"/>
          <w:b/>
          <w:iCs/>
          <w:color w:val="000000"/>
          <w:lang w:val="el-GR"/>
        </w:rPr>
        <w:t>50,11</w:t>
      </w:r>
      <w:r w:rsidRPr="00E94E09">
        <w:rPr>
          <w:rFonts w:cs="Calibri"/>
          <w:b/>
          <w:iCs/>
          <w:color w:val="000000"/>
          <w:lang w:val="el-GR"/>
        </w:rPr>
        <w:t xml:space="preserve">% (€8,4 εκ.) των πόρων του ΕΤΠΑ στο Θ.Σ. </w:t>
      </w:r>
      <w:r w:rsidRPr="00496867">
        <w:rPr>
          <w:rFonts w:cs="Calibri"/>
          <w:b/>
          <w:iCs/>
          <w:color w:val="000000"/>
          <w:lang w:val="el-GR"/>
        </w:rPr>
        <w:t>7</w:t>
      </w:r>
      <w:r w:rsidRPr="00496867">
        <w:rPr>
          <w:rFonts w:cs="Calibri"/>
          <w:iCs/>
          <w:color w:val="000000"/>
          <w:lang w:val="el-GR"/>
        </w:rPr>
        <w:t xml:space="preserve"> μέσω </w:t>
      </w:r>
      <w:r w:rsidRPr="00496867">
        <w:rPr>
          <w:rFonts w:cs="Calibri"/>
          <w:iCs/>
          <w:color w:val="000000"/>
          <w:lang w:val="el-GR"/>
        </w:rPr>
        <w:lastRenderedPageBreak/>
        <w:t xml:space="preserve">της προκήρυξης μίας Πρόσκλησης που αφορούσε την </w:t>
      </w:r>
      <w:r w:rsidRPr="00496867">
        <w:rPr>
          <w:rFonts w:cs="Calibri"/>
          <w:b/>
          <w:iCs/>
          <w:color w:val="000000"/>
          <w:lang w:val="el-GR"/>
        </w:rPr>
        <w:t>αστική αναβάθμιση και τη βελτίωση της κυκλοφορίας στο Δήμο Πάφου</w:t>
      </w:r>
      <w:r w:rsidRPr="00496867">
        <w:rPr>
          <w:rFonts w:cs="Calibri"/>
          <w:iCs/>
          <w:color w:val="000000"/>
          <w:lang w:val="el-GR"/>
        </w:rPr>
        <w:t xml:space="preserve"> αλλά </w:t>
      </w:r>
      <w:r w:rsidRPr="00496867">
        <w:rPr>
          <w:rFonts w:cs="Calibri"/>
          <w:b/>
          <w:iCs/>
          <w:color w:val="000000"/>
          <w:lang w:val="el-GR"/>
        </w:rPr>
        <w:t>δεν υπήρχε ακόμα ενταγμένο έργο</w:t>
      </w:r>
      <w:r w:rsidRPr="00496867">
        <w:rPr>
          <w:rFonts w:cs="Calibri"/>
          <w:iCs/>
          <w:color w:val="000000"/>
          <w:lang w:val="el-GR"/>
        </w:rPr>
        <w:t xml:space="preserve">, με </w:t>
      </w:r>
      <w:r w:rsidRPr="00496867">
        <w:rPr>
          <w:rFonts w:cs="Calibri"/>
          <w:b/>
          <w:iCs/>
          <w:color w:val="000000"/>
          <w:lang w:val="el-GR"/>
        </w:rPr>
        <w:t>αποτέλεσμα να μην υπάρχει αποτύπωμα</w:t>
      </w:r>
      <w:r w:rsidRPr="00496867">
        <w:rPr>
          <w:rFonts w:cs="Calibri"/>
          <w:iCs/>
          <w:color w:val="000000"/>
          <w:lang w:val="el-GR"/>
        </w:rPr>
        <w:t xml:space="preserve"> όσον αφορά στους επιδιωκόμενους στόχους του Θ.Σ. και στο </w:t>
      </w:r>
      <w:r w:rsidRPr="00496867">
        <w:rPr>
          <w:rFonts w:cs="Calibri"/>
          <w:b/>
          <w:iCs/>
          <w:color w:val="000000"/>
          <w:lang w:val="el-GR"/>
        </w:rPr>
        <w:t>πλαίσιο επίδοσης</w:t>
      </w:r>
      <w:r w:rsidRPr="00496867">
        <w:rPr>
          <w:rFonts w:cs="Calibri"/>
          <w:iCs/>
          <w:color w:val="000000"/>
          <w:lang w:val="el-GR"/>
        </w:rPr>
        <w:t xml:space="preserve"> </w:t>
      </w:r>
      <w:r w:rsidRPr="00496867">
        <w:rPr>
          <w:rFonts w:cs="Calibri"/>
          <w:b/>
          <w:iCs/>
          <w:color w:val="000000"/>
          <w:lang w:val="el-GR"/>
        </w:rPr>
        <w:t>(είναι υπό αναθεώρηση μετά την έγκριση των Στρατηγικών Ολοκληρωμένης Βιώσιμης Ανάπτυξης των τεσσάρων αστικών πόλεων της Κύπρου)</w:t>
      </w:r>
      <w:r w:rsidRPr="00496867">
        <w:rPr>
          <w:rFonts w:cs="Calibri"/>
          <w:iCs/>
          <w:color w:val="000000"/>
          <w:lang w:val="el-GR"/>
        </w:rPr>
        <w:t xml:space="preserve">. Ωστόσο, όσον αφορά το υπό ένταξη έργο του Δήμου Πάφου </w:t>
      </w:r>
      <w:r w:rsidRPr="00496867">
        <w:rPr>
          <w:rFonts w:cs="Calibri"/>
          <w:b/>
          <w:iCs/>
          <w:color w:val="000000"/>
          <w:lang w:val="el-GR"/>
        </w:rPr>
        <w:t xml:space="preserve">έχουν ήδη πραγματοποιηθεί επιλέξιμες δαπάνες  ύψους περίπου €4,7 </w:t>
      </w:r>
      <w:r w:rsidR="00E94E09">
        <w:rPr>
          <w:rFonts w:cs="Calibri"/>
          <w:b/>
          <w:iCs/>
          <w:color w:val="000000"/>
          <w:lang w:val="el-GR"/>
        </w:rPr>
        <w:t xml:space="preserve">εκ. </w:t>
      </w:r>
      <w:r w:rsidRPr="00496867">
        <w:rPr>
          <w:rFonts w:cs="Calibri"/>
          <w:b/>
          <w:iCs/>
          <w:color w:val="000000"/>
          <w:lang w:val="el-GR"/>
        </w:rPr>
        <w:t>με την στήριξη του Κρατικού Προϋπολογισμού</w:t>
      </w:r>
      <w:r w:rsidRPr="00496867">
        <w:rPr>
          <w:rFonts w:cs="Calibri"/>
          <w:iCs/>
          <w:color w:val="000000"/>
          <w:lang w:val="el-GR"/>
        </w:rPr>
        <w:t>. Το ίδιο ισχύει, αλλά σε πολύ χαμηλότερο επίπεδο δαπανών, και για μία σειρά διάφορων άλλων υπό ένταξη έργων στα άλλα τρία σημαντικά αστικά κέντρα της Κύπρου.</w:t>
      </w:r>
    </w:p>
    <w:p w14:paraId="6FDF88B3" w14:textId="6F501597" w:rsidR="00496867" w:rsidRPr="00496867" w:rsidRDefault="00496867" w:rsidP="00496867">
      <w:pPr>
        <w:ind w:left="709"/>
        <w:jc w:val="both"/>
        <w:rPr>
          <w:rFonts w:cs="Calibri"/>
          <w:iCs/>
          <w:color w:val="000000"/>
          <w:lang w:val="el-GR"/>
        </w:rPr>
      </w:pPr>
      <w:r w:rsidRPr="00496867">
        <w:rPr>
          <w:rFonts w:cs="Calibri"/>
          <w:iCs/>
          <w:color w:val="000000"/>
          <w:lang w:val="el-GR"/>
        </w:rPr>
        <w:t>Οι</w:t>
      </w:r>
      <w:r w:rsidRPr="00496867">
        <w:rPr>
          <w:rFonts w:cs="Calibri"/>
          <w:b/>
          <w:iCs/>
          <w:color w:val="000000"/>
          <w:lang w:val="el-GR"/>
        </w:rPr>
        <w:t xml:space="preserve"> πόροι του Ταμείου Συνοχής συμβάλλουν κατά 85,6% στους στόχους του Θ.Σ. 7, μέσω του οποίου επιδιώκεται</w:t>
      </w:r>
      <w:r w:rsidRPr="00496867">
        <w:rPr>
          <w:rFonts w:cs="Calibri"/>
          <w:iCs/>
          <w:color w:val="000000"/>
          <w:lang w:val="el-GR"/>
        </w:rPr>
        <w:t xml:space="preserve"> η βελτίωση των αναγκαίων υποδομών της χώρας για την ολοκλήρωση της διασύνδεσης με το Διευρωπαϊκό Δίκτυο Μεταφορών και η βελτίωση των συστημάτων μεταφορών για την προώθηση της βιώσιμης αστικής και περιφερειακής κινητικότητας με τρόπο φιλικό προς το περιβάλλον. </w:t>
      </w:r>
      <w:r w:rsidRPr="00E94E09">
        <w:rPr>
          <w:rFonts w:cs="Calibri"/>
          <w:b/>
          <w:iCs/>
          <w:color w:val="000000"/>
          <w:lang w:val="el-GR"/>
        </w:rPr>
        <w:t xml:space="preserve">Μέχρι </w:t>
      </w:r>
      <w:r w:rsidR="00E94E09" w:rsidRPr="00E94E09">
        <w:rPr>
          <w:rFonts w:cs="Calibri"/>
          <w:b/>
          <w:iCs/>
          <w:color w:val="000000"/>
          <w:lang w:val="el-GR"/>
        </w:rPr>
        <w:t>τις</w:t>
      </w:r>
      <w:r w:rsidRPr="00496867">
        <w:rPr>
          <w:rFonts w:cs="Calibri"/>
          <w:iCs/>
          <w:color w:val="000000"/>
          <w:lang w:val="el-GR"/>
        </w:rPr>
        <w:t xml:space="preserve"> </w:t>
      </w:r>
      <w:r w:rsidRPr="00496867">
        <w:rPr>
          <w:rFonts w:cs="Calibri"/>
          <w:b/>
          <w:iCs/>
          <w:color w:val="000000"/>
          <w:lang w:val="el-GR"/>
        </w:rPr>
        <w:t>31/12/2016</w:t>
      </w:r>
      <w:r w:rsidRPr="00496867">
        <w:rPr>
          <w:rFonts w:cs="Calibri"/>
          <w:iCs/>
          <w:color w:val="000000"/>
          <w:lang w:val="el-GR"/>
        </w:rPr>
        <w:t xml:space="preserve"> </w:t>
      </w:r>
      <w:r w:rsidRPr="009E12C7">
        <w:rPr>
          <w:rFonts w:cs="Calibri"/>
          <w:b/>
          <w:iCs/>
          <w:color w:val="000000"/>
          <w:lang w:val="el-GR"/>
        </w:rPr>
        <w:t>ε</w:t>
      </w:r>
      <w:r w:rsidR="009E12C7">
        <w:rPr>
          <w:rFonts w:cs="Calibri"/>
          <w:b/>
          <w:iCs/>
          <w:color w:val="000000"/>
          <w:lang w:val="el-GR"/>
        </w:rPr>
        <w:t>ίχε ενεργοποιηθεί το 3</w:t>
      </w:r>
      <w:r w:rsidR="009E12C7" w:rsidRPr="009E12C7">
        <w:rPr>
          <w:rFonts w:cs="Calibri"/>
          <w:b/>
          <w:iCs/>
          <w:color w:val="000000"/>
          <w:lang w:val="el-GR"/>
        </w:rPr>
        <w:t>0,00</w:t>
      </w:r>
      <w:r w:rsidRPr="00496867">
        <w:rPr>
          <w:rFonts w:cs="Calibri"/>
          <w:b/>
          <w:iCs/>
          <w:color w:val="000000"/>
          <w:lang w:val="el-GR"/>
        </w:rPr>
        <w:t>% των πόρων του Τ.Σ. στο Θ.Σ. 7</w:t>
      </w:r>
      <w:r w:rsidRPr="00496867">
        <w:rPr>
          <w:rFonts w:cs="Calibri"/>
          <w:iCs/>
          <w:color w:val="000000"/>
          <w:lang w:val="el-GR"/>
        </w:rPr>
        <w:t xml:space="preserve"> </w:t>
      </w:r>
      <w:r w:rsidRPr="00496867">
        <w:rPr>
          <w:rFonts w:cs="Calibri"/>
          <w:b/>
          <w:iCs/>
          <w:color w:val="000000"/>
          <w:lang w:val="el-GR"/>
        </w:rPr>
        <w:t>μέσω δύο προσκλήσεων</w:t>
      </w:r>
      <w:r w:rsidRPr="00496867">
        <w:rPr>
          <w:rFonts w:cs="Calibri"/>
          <w:iCs/>
          <w:color w:val="000000"/>
          <w:lang w:val="el-GR"/>
        </w:rPr>
        <w:t xml:space="preserve"> συνολικού προϋπολογισμού €30 εκ. Στο πλαίσιο υλοποίησης του ενταγμένου έργου «Αναβάθμιση Λιμένα Λεμεσού – Β’ Φάση» («έργο γέφυρα» από ) έχουν </w:t>
      </w:r>
      <w:r w:rsidRPr="00496867">
        <w:rPr>
          <w:rFonts w:cs="Calibri"/>
          <w:b/>
          <w:iCs/>
          <w:color w:val="000000"/>
          <w:lang w:val="el-GR"/>
        </w:rPr>
        <w:t>πιστοποιηθεί δαπάνες ύψους €2,74 εκ.</w:t>
      </w:r>
      <w:r w:rsidRPr="00496867">
        <w:rPr>
          <w:rFonts w:cs="Calibri"/>
          <w:iCs/>
          <w:color w:val="000000"/>
          <w:lang w:val="el-GR"/>
        </w:rPr>
        <w:t xml:space="preserve"> συμβάλλοντας στο</w:t>
      </w:r>
      <w:r w:rsidRPr="00496867">
        <w:rPr>
          <w:rFonts w:cs="Calibri"/>
          <w:b/>
          <w:iCs/>
          <w:color w:val="000000"/>
          <w:lang w:val="el-GR"/>
        </w:rPr>
        <w:t xml:space="preserve"> Χρηματοοικονομικό Δείκτη 5 του πλαισίου επίδοσης</w:t>
      </w:r>
      <w:r w:rsidRPr="00496867">
        <w:rPr>
          <w:rFonts w:cs="Calibri"/>
          <w:iCs/>
          <w:color w:val="000000"/>
          <w:lang w:val="el-GR"/>
        </w:rPr>
        <w:t xml:space="preserve">, ενώ έχουν </w:t>
      </w:r>
      <w:r w:rsidRPr="00496867">
        <w:rPr>
          <w:rFonts w:cs="Calibri"/>
          <w:b/>
          <w:iCs/>
          <w:color w:val="000000"/>
          <w:lang w:val="el-GR"/>
        </w:rPr>
        <w:t>υπογραφεί Νομικές Δεσμεύσεις ύψους €9,49 εκ.</w:t>
      </w:r>
      <w:r w:rsidRPr="00496867">
        <w:rPr>
          <w:rFonts w:cs="Calibri"/>
          <w:iCs/>
          <w:color w:val="000000"/>
          <w:lang w:val="el-GR"/>
        </w:rPr>
        <w:t xml:space="preserve"> Το </w:t>
      </w:r>
      <w:r w:rsidRPr="00496867">
        <w:rPr>
          <w:rFonts w:cs="Calibri"/>
          <w:b/>
          <w:iCs/>
          <w:color w:val="000000"/>
          <w:lang w:val="el-GR"/>
        </w:rPr>
        <w:t>έργο παραδόθηκε</w:t>
      </w:r>
      <w:r w:rsidRPr="00496867">
        <w:rPr>
          <w:rFonts w:cs="Calibri"/>
          <w:iCs/>
          <w:color w:val="000000"/>
          <w:lang w:val="el-GR"/>
        </w:rPr>
        <w:t xml:space="preserve"> στις 31/10/2016 (βρίσκεται σε περίοδο ευθύνης ελαττωμάτων) </w:t>
      </w:r>
      <w:r w:rsidRPr="00496867">
        <w:rPr>
          <w:rFonts w:cs="Calibri"/>
          <w:b/>
          <w:iCs/>
          <w:color w:val="000000"/>
          <w:lang w:val="el-GR"/>
        </w:rPr>
        <w:t>καλύπτοντας το δείκτη εκροών 7</w:t>
      </w:r>
      <w:r w:rsidRPr="00496867">
        <w:rPr>
          <w:rFonts w:cs="Calibri"/>
          <w:b/>
          <w:iCs/>
          <w:color w:val="000000"/>
        </w:rPr>
        <w:t>i</w:t>
      </w:r>
      <w:r w:rsidRPr="00496867">
        <w:rPr>
          <w:rFonts w:cs="Calibri"/>
          <w:b/>
          <w:iCs/>
          <w:color w:val="000000"/>
          <w:lang w:val="el-GR"/>
        </w:rPr>
        <w:t>.1 του πλαισίου επίδοσης</w:t>
      </w:r>
      <w:r w:rsidRPr="00496867">
        <w:rPr>
          <w:rFonts w:cs="Calibri"/>
          <w:iCs/>
          <w:color w:val="000000"/>
          <w:lang w:val="el-GR"/>
        </w:rPr>
        <w:t xml:space="preserve"> ενώ εκτιμάται ότι έχει συμβάλει μερικώς στην αύξηση της διακίνησης των εμπορευμάτων από το Λιμένα της Λεμεσού. Στο πλαίσιο της υλοποίησής του έχουν ήδη πραγματοποιηθεί πρόσθετες δαπάνες ύψους €2,56 εκ.</w:t>
      </w:r>
    </w:p>
    <w:p w14:paraId="6D8C1F0E" w14:textId="77777777"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Επιπλέον, το </w:t>
      </w:r>
      <w:r w:rsidRPr="00496867">
        <w:rPr>
          <w:rFonts w:cs="Calibri"/>
          <w:b/>
          <w:iCs/>
          <w:color w:val="000000"/>
          <w:lang w:val="el-GR"/>
        </w:rPr>
        <w:t>ενταγμένο έργο που αφορά στη βελτίωση της αστικής κινητικότητας στη περιοχή Αγλαντζιάς της Λευκωσίας,</w:t>
      </w:r>
      <w:r w:rsidRPr="00496867">
        <w:rPr>
          <w:rFonts w:cs="Calibri"/>
          <w:iCs/>
          <w:color w:val="000000"/>
          <w:lang w:val="el-GR"/>
        </w:rPr>
        <w:t xml:space="preserve"> δεν έχει ολοκληρωθεί με αποτέλεσμα να μην υπάρχουν πιστοποιημένες δαπάνες και αποτύπωμα στο πλαίσιο επίδοσης. Ωστόσο, η διαφαινόμενη τάση στο άμεσο μέλλον είναι θετική καθώς στο πλαίσιο υλοποίησης του έργου έχουν ήδη πραγματοποιηθεί επιλέξιμες δαπάνες ύψους €5,15 εκ. </w:t>
      </w:r>
    </w:p>
    <w:p w14:paraId="339048CF" w14:textId="77777777" w:rsidR="00496867" w:rsidRPr="00496867" w:rsidRDefault="00496867" w:rsidP="00496867">
      <w:pPr>
        <w:ind w:left="709"/>
        <w:jc w:val="both"/>
        <w:rPr>
          <w:rFonts w:cs="Calibri"/>
          <w:iCs/>
          <w:color w:val="000000"/>
          <w:lang w:val="el-GR"/>
        </w:rPr>
      </w:pPr>
      <w:r w:rsidRPr="00496867">
        <w:rPr>
          <w:rFonts w:cs="Calibri"/>
          <w:iCs/>
          <w:color w:val="000000"/>
          <w:lang w:val="el-GR"/>
        </w:rPr>
        <w:t xml:space="preserve">Σε σχέση με την </w:t>
      </w:r>
      <w:r w:rsidRPr="00496867">
        <w:rPr>
          <w:rFonts w:cs="Calibri"/>
          <w:b/>
          <w:iCs/>
          <w:color w:val="000000"/>
          <w:lang w:val="el-GR"/>
        </w:rPr>
        <w:t>πρόοδο του Θ.Σ. 7</w:t>
      </w:r>
      <w:r w:rsidRPr="00496867">
        <w:rPr>
          <w:rFonts w:cs="Calibri"/>
          <w:iCs/>
          <w:color w:val="000000"/>
          <w:lang w:val="el-GR"/>
        </w:rPr>
        <w:t xml:space="preserve"> υπάρχει </w:t>
      </w:r>
      <w:r w:rsidRPr="00496867">
        <w:rPr>
          <w:rFonts w:cs="Calibri"/>
          <w:b/>
          <w:iCs/>
          <w:color w:val="000000"/>
          <w:lang w:val="el-GR"/>
        </w:rPr>
        <w:t>σειρά υποψηφίων προς ένταξη έργων</w:t>
      </w:r>
      <w:r w:rsidRPr="00496867">
        <w:rPr>
          <w:rFonts w:cs="Calibri"/>
          <w:iCs/>
          <w:color w:val="000000"/>
          <w:lang w:val="el-GR"/>
        </w:rPr>
        <w:t xml:space="preserve"> που δεν είχαν ακόμη ενταχθεί μέχρι το τέλος του 2016, αλλά έχουν πραγματοποιήσει επιλέξιμες δαπάνες με την στήριξη του κρατικού προϋπολογισμού συμβάλλοντας στους υπόλοιπους δείκτες του πλαισίου επίδοσης (7</w:t>
      </w:r>
      <w:r w:rsidRPr="00496867">
        <w:rPr>
          <w:rFonts w:cs="Calibri"/>
          <w:iCs/>
          <w:color w:val="000000"/>
        </w:rPr>
        <w:t>ii</w:t>
      </w:r>
      <w:r w:rsidRPr="00496867">
        <w:rPr>
          <w:rFonts w:cs="Calibri"/>
          <w:iCs/>
          <w:color w:val="000000"/>
          <w:lang w:val="el-GR"/>
        </w:rPr>
        <w:t>.1 και 7</w:t>
      </w:r>
      <w:r w:rsidRPr="00496867">
        <w:rPr>
          <w:rFonts w:cs="Calibri"/>
          <w:iCs/>
          <w:color w:val="000000"/>
        </w:rPr>
        <w:t>ii</w:t>
      </w:r>
      <w:r w:rsidRPr="00496867">
        <w:rPr>
          <w:rFonts w:cs="Calibri"/>
          <w:iCs/>
          <w:color w:val="000000"/>
          <w:lang w:val="el-GR"/>
        </w:rPr>
        <w:t xml:space="preserve">.3) αλλά και στον ΧΔ5. Συγκεκριμένα, περίπου €1,25 εκ. αφορούν το έργο «Δρόμος Πρωταρχικής Σημασίας που συνδέει το νέο Λιμάνι Λεμεσού με τον Αυτοκινητόδρομο – Β΄ Φάση», το οποίο αποτελεί «έργο γέφυρα» της Προγραμματικής Περιόδου 2007-2013 και €0,42 εκ. αφορούν στο έργο «Δίκτυο Ποδηλατοδρόμων Λευκωσίας». </w:t>
      </w:r>
    </w:p>
    <w:p w14:paraId="4145F641" w14:textId="49DEEBFA" w:rsidR="00496867" w:rsidRDefault="00496867" w:rsidP="00496867">
      <w:pPr>
        <w:ind w:left="709"/>
        <w:jc w:val="both"/>
        <w:rPr>
          <w:rFonts w:cs="Calibri"/>
          <w:iCs/>
          <w:color w:val="000000"/>
          <w:lang w:val="el-GR"/>
        </w:rPr>
      </w:pPr>
      <w:r w:rsidRPr="00555A9E">
        <w:rPr>
          <w:rFonts w:cs="Calibri"/>
          <w:iCs/>
          <w:color w:val="000000"/>
          <w:lang w:val="el-GR"/>
        </w:rPr>
        <w:t xml:space="preserve">Συνολικά, </w:t>
      </w:r>
      <w:r w:rsidR="00E94E09">
        <w:rPr>
          <w:rFonts w:cs="Calibri"/>
          <w:b/>
          <w:iCs/>
          <w:color w:val="000000"/>
          <w:lang w:val="el-GR"/>
        </w:rPr>
        <w:t>σ</w:t>
      </w:r>
      <w:r w:rsidRPr="00555A9E">
        <w:rPr>
          <w:rFonts w:cs="Calibri"/>
          <w:b/>
          <w:iCs/>
          <w:color w:val="000000"/>
          <w:lang w:val="el-GR"/>
        </w:rPr>
        <w:t>το Θεματικό Στόχο 7 της ΣΕΣ</w:t>
      </w:r>
      <w:r w:rsidRPr="00555A9E">
        <w:rPr>
          <w:rFonts w:cs="Calibri"/>
          <w:iCs/>
          <w:color w:val="000000"/>
          <w:lang w:val="el-GR"/>
        </w:rPr>
        <w:t xml:space="preserve"> έχει </w:t>
      </w:r>
      <w:r w:rsidRPr="00555A9E">
        <w:rPr>
          <w:rFonts w:cs="Calibri"/>
          <w:b/>
          <w:iCs/>
          <w:color w:val="000000"/>
          <w:lang w:val="el-GR"/>
        </w:rPr>
        <w:t>ενεργοποιηθεί το 38.69% και έχει πιστοποιηθεί το 2,76% των συνολικών πόρων του</w:t>
      </w:r>
      <w:r w:rsidRPr="00555A9E">
        <w:rPr>
          <w:rFonts w:cs="Calibri"/>
          <w:iCs/>
          <w:color w:val="000000"/>
          <w:lang w:val="el-GR"/>
        </w:rPr>
        <w:t xml:space="preserve">, ενώ σε </w:t>
      </w:r>
      <w:r w:rsidRPr="00555A9E">
        <w:rPr>
          <w:rFonts w:cs="Calibri"/>
          <w:b/>
          <w:iCs/>
          <w:color w:val="000000"/>
          <w:lang w:val="el-GR"/>
        </w:rPr>
        <w:t>καθεστώς νομικής δέσμευσης βρίσκεται το 9,56%</w:t>
      </w:r>
      <w:r w:rsidRPr="00555A9E">
        <w:rPr>
          <w:rFonts w:cs="Calibri"/>
          <w:iCs/>
          <w:color w:val="000000"/>
          <w:lang w:val="el-GR"/>
        </w:rPr>
        <w:t xml:space="preserve"> των πόρων του.</w:t>
      </w:r>
      <w:r w:rsidRPr="00496867">
        <w:rPr>
          <w:rFonts w:cs="Calibri"/>
          <w:iCs/>
          <w:color w:val="000000"/>
          <w:lang w:val="el-GR"/>
        </w:rPr>
        <w:t xml:space="preserve"> </w:t>
      </w:r>
    </w:p>
    <w:p w14:paraId="080FB1C3" w14:textId="77777777" w:rsidR="00130BC4" w:rsidRDefault="00130BC4" w:rsidP="00496867">
      <w:pPr>
        <w:ind w:left="709"/>
        <w:jc w:val="both"/>
        <w:rPr>
          <w:rFonts w:cs="Calibri"/>
          <w:iCs/>
          <w:color w:val="000000"/>
          <w:lang w:val="el-GR"/>
        </w:rPr>
      </w:pPr>
    </w:p>
    <w:p w14:paraId="3CDCDA2D" w14:textId="77777777" w:rsidR="00E94E09" w:rsidRPr="00496867" w:rsidRDefault="00E94E09" w:rsidP="00E94E09">
      <w:pPr>
        <w:spacing w:after="0" w:line="240" w:lineRule="auto"/>
        <w:ind w:left="709"/>
        <w:jc w:val="both"/>
        <w:rPr>
          <w:rFonts w:cs="Calibri"/>
          <w:iCs/>
          <w:color w:val="000000"/>
          <w:lang w:val="el-GR"/>
        </w:rPr>
      </w:pPr>
    </w:p>
    <w:p w14:paraId="3404F946" w14:textId="77777777" w:rsidR="00496867" w:rsidRPr="00496867" w:rsidRDefault="00496867" w:rsidP="00E94E09">
      <w:pPr>
        <w:numPr>
          <w:ilvl w:val="0"/>
          <w:numId w:val="15"/>
        </w:numPr>
        <w:ind w:left="709" w:hanging="283"/>
        <w:jc w:val="both"/>
        <w:rPr>
          <w:rFonts w:cs="Calibri"/>
          <w:b/>
          <w:i/>
          <w:iCs/>
          <w:color w:val="000000"/>
          <w:u w:val="single"/>
          <w:lang w:val="el-GR"/>
        </w:rPr>
      </w:pPr>
      <w:r w:rsidRPr="00496867">
        <w:rPr>
          <w:rFonts w:cs="Calibri"/>
          <w:b/>
          <w:i/>
          <w:iCs/>
          <w:color w:val="000000"/>
          <w:u w:val="single"/>
          <w:lang w:val="el-GR"/>
        </w:rPr>
        <w:lastRenderedPageBreak/>
        <w:t>Θεσμική Ικανότητα και Αποτελεσματικότητα της Δημόσιας Διοίκησης (Θ.Σ. 11)</w:t>
      </w:r>
    </w:p>
    <w:p w14:paraId="3DDBCE38" w14:textId="77777777" w:rsidR="00496867" w:rsidRPr="00496867" w:rsidRDefault="00496867" w:rsidP="00496867">
      <w:pPr>
        <w:ind w:left="709"/>
        <w:jc w:val="both"/>
        <w:rPr>
          <w:rFonts w:cs="Calibri"/>
          <w:iCs/>
          <w:color w:val="000000"/>
          <w:lang w:val="el-GR"/>
        </w:rPr>
      </w:pPr>
      <w:r w:rsidRPr="00496867">
        <w:rPr>
          <w:rFonts w:cs="Calibri"/>
          <w:iCs/>
          <w:color w:val="000000"/>
          <w:lang w:val="el-GR"/>
        </w:rPr>
        <w:t>Ο στόχος της αναδιάρθρωσης και ενίσχυσης της ανταγωνιστικότητας της Κυπριακής οικονομίας ολοκληρώνεται από την προσπάθεια ενίσχυσης της θεσμικής ικανότητας και της αποτελεσματικότητας της δημόσιας διοίκησης. Στο πλαίσιο προώθησης της πολυεπίπεδης και καλής διακυβέρνησης, της χρηστής διοίκησης και της διαφάνειας επιδιώκονται στοχευμένες παρεμβάσεις που αφορούν:</w:t>
      </w:r>
    </w:p>
    <w:p w14:paraId="34830160" w14:textId="77777777" w:rsidR="00496867" w:rsidRPr="00496867" w:rsidRDefault="00496867" w:rsidP="001D583B">
      <w:pPr>
        <w:numPr>
          <w:ilvl w:val="0"/>
          <w:numId w:val="17"/>
        </w:numPr>
        <w:ind w:left="1232" w:hanging="381"/>
        <w:jc w:val="both"/>
        <w:rPr>
          <w:rFonts w:cs="Calibri"/>
          <w:iCs/>
          <w:color w:val="000000"/>
          <w:lang w:val="el-GR"/>
        </w:rPr>
      </w:pPr>
      <w:r w:rsidRPr="00496867">
        <w:rPr>
          <w:rFonts w:cs="Calibri"/>
          <w:iCs/>
          <w:color w:val="000000"/>
          <w:lang w:val="el-GR"/>
        </w:rPr>
        <w:t xml:space="preserve"> την ενίσχυση της θεσμικής ικανότητας και αποδοτικότητας της δημόσιας διοίκησης με στόχο την εφαρμογή μεταρρυθμίσεων και την ορθή διακυβέρνησης και</w:t>
      </w:r>
    </w:p>
    <w:p w14:paraId="20D8A136" w14:textId="77777777" w:rsidR="00496867" w:rsidRPr="00496867" w:rsidRDefault="00496867" w:rsidP="001D583B">
      <w:pPr>
        <w:numPr>
          <w:ilvl w:val="0"/>
          <w:numId w:val="17"/>
        </w:numPr>
        <w:ind w:left="1232" w:hanging="381"/>
        <w:jc w:val="both"/>
        <w:rPr>
          <w:rFonts w:cs="Calibri"/>
          <w:iCs/>
          <w:color w:val="000000"/>
          <w:lang w:val="el-GR"/>
        </w:rPr>
      </w:pPr>
      <w:r w:rsidRPr="00496867">
        <w:rPr>
          <w:rFonts w:cs="Calibri"/>
          <w:iCs/>
          <w:color w:val="000000"/>
          <w:lang w:val="el-GR"/>
        </w:rPr>
        <w:t>την ενίσχυση της Διοικητικής Ικανότητας των εταίρων</w:t>
      </w:r>
    </w:p>
    <w:p w14:paraId="31AD4639" w14:textId="77777777" w:rsidR="00496867" w:rsidRPr="00496867" w:rsidRDefault="00496867" w:rsidP="00496867">
      <w:pPr>
        <w:ind w:left="709"/>
        <w:jc w:val="both"/>
        <w:rPr>
          <w:lang w:val="el-GR"/>
        </w:rPr>
      </w:pPr>
      <w:r w:rsidRPr="00496867">
        <w:rPr>
          <w:rFonts w:cs="Calibri"/>
          <w:iCs/>
          <w:lang w:val="el-GR"/>
        </w:rPr>
        <w:t xml:space="preserve">Οι </w:t>
      </w:r>
      <w:r w:rsidRPr="00496867">
        <w:rPr>
          <w:rFonts w:cs="Calibri"/>
          <w:b/>
          <w:iCs/>
          <w:lang w:val="el-GR"/>
        </w:rPr>
        <w:t xml:space="preserve">στόχοι του Θ.Σ. 11 εξυπηρετούνται αποκλειστικά μέσα από τους πόρους του ΕΚΤ, </w:t>
      </w:r>
      <w:r w:rsidRPr="00496867">
        <w:rPr>
          <w:rFonts w:cs="Calibri"/>
          <w:iCs/>
          <w:lang w:val="el-GR"/>
        </w:rPr>
        <w:t xml:space="preserve">στο πλαίσιο του οποίου επιδιώκεται η αναδιάρθρωση της Δημόσιας Διοίκησης και η βελτίωση της αποδοτικότητας και της λειτουργίας της, η ανάπτυξη και βελτίωση των δεξιοτήτων του ανθρώπινου δυναμικού της καθώς και η ενίσχυση της διοικητικής ικανότητας των κοινωνικών και οικονομικών εταίρων. Μέχρι την </w:t>
      </w:r>
      <w:r w:rsidRPr="00496867">
        <w:rPr>
          <w:rFonts w:cs="Calibri"/>
          <w:b/>
          <w:iCs/>
          <w:lang w:val="el-GR"/>
        </w:rPr>
        <w:t>31/12/2016</w:t>
      </w:r>
      <w:r w:rsidRPr="00496867">
        <w:rPr>
          <w:rFonts w:cs="Calibri"/>
          <w:iCs/>
          <w:lang w:val="el-GR"/>
        </w:rPr>
        <w:t xml:space="preserve"> δεν είχαν ενεργοποιηθεί οι πόροι του ΕΚΤ που έχουν κατανεμηθεί στο Θ.Σ.11, καθώς δεν είχε εκδοθεί καμία προκήρυξη. Ωστόσο, με την έγκριση της Διαχειριστικής Αρχής ξεκίνησε το 2014 η υλοποίηση του έργου «Δημιουργία και Λειτουργία Υπηρεσίας Διαχείρισης Επιδομάτων Πρόνοιας - ΥΔΕΠ» με π/υ €3,7εκ.</w:t>
      </w:r>
      <w:r w:rsidRPr="00496867">
        <w:rPr>
          <w:rFonts w:cs="Calibri"/>
          <w:b/>
          <w:iCs/>
          <w:lang w:val="el-GR"/>
        </w:rPr>
        <w:t xml:space="preserve"> </w:t>
      </w:r>
      <w:r w:rsidRPr="00496867">
        <w:rPr>
          <w:rFonts w:cs="Calibri"/>
          <w:iCs/>
          <w:lang w:val="el-GR"/>
        </w:rPr>
        <w:t xml:space="preserve">Το 2016 παραλήφθηκαν από την ΥΔΕΠ 9.804 αιτήσεις, εξετάστηκαν συνολικά 77.644 και πληρώθηκαν επιδόματα πρόνοιας €194.207.858. </w:t>
      </w:r>
      <w:r w:rsidRPr="00496867">
        <w:rPr>
          <w:lang w:val="el-GR"/>
        </w:rPr>
        <w:t>Το Φεβρουάριο του 2017 εκδόθηκε από τον ΕΦ πρόσκληση υποβολής έργου με π/υ €4,5 εκατ. Αυτό συνεπάγεται ότι με την ένταξη του έργου θα έχει ενεργοποιηθεί το 88% των πόρων του ΕΚΤ στο Θ.Σ.11. Ωστόσο, όσον αφορά το υπό ένταξη έργο έχουν ήδη πραγματοποιηθεί επιλέξιμες δαπάνες ύψους περίπου €180.000 με την στήριξη του Κρατικού Προϋπολογισμού και μέχρι να ολοκληρωθεί η ένταξή του. Η συμβολή του ΕΚΤ στα αναμενόμενα αποτελέσματα του Θ.Σ. είναι τυπικά μηδενική, ελλείψει ενταγμένων έργων, το ίδιο και στο πλαίσιο επίδοσης του Ε.Π. «Απασχόληση, Ανθρώπινοι Πόροι και Κοινωνική Συνοχή» και συγκεκριμένα στο ΧΔ</w:t>
      </w:r>
      <w:r w:rsidRPr="00496867">
        <w:rPr>
          <w:rFonts w:cs="Calibri"/>
          <w:iCs/>
          <w:lang w:val="el-GR"/>
        </w:rPr>
        <w:t xml:space="preserve"> </w:t>
      </w:r>
      <w:r w:rsidRPr="00496867">
        <w:rPr>
          <w:lang w:val="el-GR"/>
        </w:rPr>
        <w:t>FI 4: Ποσό Πιστοποιημένων Δαπανών.</w:t>
      </w:r>
    </w:p>
    <w:p w14:paraId="5F6BB59F" w14:textId="77777777" w:rsidR="00496867" w:rsidRPr="00496867" w:rsidRDefault="00496867" w:rsidP="00130BC4">
      <w:pPr>
        <w:spacing w:after="0" w:line="240" w:lineRule="auto"/>
        <w:ind w:left="709"/>
        <w:jc w:val="both"/>
        <w:rPr>
          <w:rFonts w:cs="Calibri"/>
          <w:iCs/>
          <w:color w:val="FF0000"/>
          <w:lang w:val="el-GR"/>
        </w:rPr>
      </w:pPr>
    </w:p>
    <w:p w14:paraId="42238874" w14:textId="77777777" w:rsidR="00496867" w:rsidRPr="00496867" w:rsidRDefault="00496867" w:rsidP="00130BC4">
      <w:pPr>
        <w:numPr>
          <w:ilvl w:val="0"/>
          <w:numId w:val="14"/>
        </w:numPr>
        <w:ind w:left="284" w:hanging="284"/>
        <w:jc w:val="both"/>
        <w:rPr>
          <w:rFonts w:cs="Calibri"/>
          <w:b/>
          <w:i/>
          <w:iCs/>
          <w:color w:val="000000"/>
          <w:u w:val="single"/>
          <w:lang w:val="el-GR"/>
        </w:rPr>
      </w:pPr>
      <w:r w:rsidRPr="00496867">
        <w:rPr>
          <w:rFonts w:cs="Calibri"/>
          <w:b/>
          <w:i/>
          <w:iCs/>
          <w:color w:val="000000"/>
          <w:u w:val="single"/>
          <w:lang w:val="el-GR"/>
        </w:rPr>
        <w:t>Αναβάθμιση Ανθρώπινου Δυναμικού, Προώθησης της Απασχόλησης και Κοινωνική Συνοχή (Θ.Σ. 8, 9 &amp; 10)</w:t>
      </w:r>
    </w:p>
    <w:p w14:paraId="68368EFF" w14:textId="77777777" w:rsidR="00496867" w:rsidRPr="00496867" w:rsidRDefault="00496867" w:rsidP="00496867">
      <w:pPr>
        <w:ind w:left="284"/>
        <w:jc w:val="both"/>
        <w:rPr>
          <w:rFonts w:cs="Calibri"/>
          <w:iCs/>
          <w:color w:val="000000"/>
          <w:lang w:val="el-GR"/>
        </w:rPr>
      </w:pPr>
      <w:r w:rsidRPr="00496867">
        <w:rPr>
          <w:rFonts w:cs="Calibri"/>
          <w:iCs/>
          <w:color w:val="000000"/>
          <w:lang w:val="el-GR"/>
        </w:rPr>
        <w:t xml:space="preserve">Στο πλαίσιο της προσπάθειας ανάπτυξης της Κυπριακής οικονομίας επιδιώκεται </w:t>
      </w:r>
      <w:r w:rsidRPr="00496867">
        <w:rPr>
          <w:rFonts w:cs="Calibri"/>
          <w:b/>
          <w:iCs/>
          <w:color w:val="000000"/>
          <w:lang w:val="el-GR"/>
        </w:rPr>
        <w:t>η επίτευξη ισορροπίας μεταξύ μέτρων που αφορούν την άρση των δυσμενών επιπτώσεων της κρίσης και διαρθρωτικών μέτρων για την αγορά εργασίας</w:t>
      </w:r>
      <w:r w:rsidRPr="00496867">
        <w:rPr>
          <w:rFonts w:cs="Calibri"/>
          <w:iCs/>
          <w:color w:val="000000"/>
          <w:lang w:val="el-GR"/>
        </w:rPr>
        <w:t xml:space="preserve">. Οι στοχευμένες παρεμβάσεις αφορούν την </w:t>
      </w:r>
      <w:r w:rsidRPr="00496867">
        <w:rPr>
          <w:rFonts w:cs="Calibri"/>
          <w:b/>
          <w:iCs/>
          <w:color w:val="000000"/>
          <w:lang w:val="el-GR"/>
        </w:rPr>
        <w:t>ενίσχυση της απασχόλησης</w:t>
      </w:r>
      <w:r w:rsidRPr="00496867">
        <w:rPr>
          <w:rFonts w:cs="Calibri"/>
          <w:iCs/>
          <w:color w:val="000000"/>
          <w:lang w:val="el-GR"/>
        </w:rPr>
        <w:t xml:space="preserve">, συμπεριλαμβάνοντας την </w:t>
      </w:r>
      <w:r w:rsidRPr="00496867">
        <w:rPr>
          <w:rFonts w:cs="Calibri"/>
          <w:b/>
          <w:iCs/>
          <w:color w:val="000000"/>
          <w:lang w:val="el-GR"/>
        </w:rPr>
        <w:t>Πρωτοβουλία για την Απασχόληση των Νέων</w:t>
      </w:r>
      <w:r w:rsidRPr="00496867">
        <w:rPr>
          <w:rFonts w:cs="Calibri"/>
          <w:iCs/>
          <w:color w:val="000000"/>
          <w:lang w:val="el-GR"/>
        </w:rPr>
        <w:t xml:space="preserve"> καθώς και τη </w:t>
      </w:r>
      <w:r w:rsidRPr="00496867">
        <w:rPr>
          <w:rFonts w:cs="Calibri"/>
          <w:b/>
          <w:iCs/>
          <w:color w:val="000000"/>
          <w:lang w:val="el-GR"/>
        </w:rPr>
        <w:t>θέσπιση επαρκούς δικτύου κοινωνικής προστασίας</w:t>
      </w:r>
      <w:r w:rsidRPr="00496867">
        <w:rPr>
          <w:rFonts w:cs="Calibri"/>
          <w:iCs/>
          <w:color w:val="000000"/>
          <w:lang w:val="el-GR"/>
        </w:rPr>
        <w:t xml:space="preserve"> για όσους πολίτες αντιμετωπίζουν το φάσμα της φτώχειας και των διακρίσεων. Επίσης, προτεραιότητα για τη χώρα αποτελεί η </w:t>
      </w:r>
      <w:r w:rsidRPr="00496867">
        <w:rPr>
          <w:rFonts w:cs="Calibri"/>
          <w:b/>
          <w:iCs/>
          <w:color w:val="000000"/>
          <w:lang w:val="el-GR"/>
        </w:rPr>
        <w:t>βελτίωση της απασχολησιμότητας των ανέργων και των ανενεργών ατόμων</w:t>
      </w:r>
      <w:r w:rsidRPr="00496867">
        <w:rPr>
          <w:rFonts w:cs="Calibri"/>
          <w:iCs/>
          <w:color w:val="000000"/>
          <w:lang w:val="el-GR"/>
        </w:rPr>
        <w:t xml:space="preserve">, με τρόπο που θα συμβαδίζει με τη βιώσιμη, έξυπνη και χωρίς αποκλεισμούς ανάπτυξη. Σε αυτό το πλαίσιο </w:t>
      </w:r>
      <w:r w:rsidRPr="00496867">
        <w:rPr>
          <w:rFonts w:cs="Calibri"/>
          <w:b/>
          <w:iCs/>
          <w:color w:val="000000"/>
          <w:lang w:val="el-GR"/>
        </w:rPr>
        <w:t>οι παρεμβάσεις της ΣΕΣ αφορούν τη βελτίωση της σύνδεσης του εκπαιδευτικού συστήματος με την αγορά εργασίας</w:t>
      </w:r>
      <w:r w:rsidRPr="00496867">
        <w:rPr>
          <w:rFonts w:cs="Calibri"/>
          <w:iCs/>
          <w:color w:val="000000"/>
          <w:lang w:val="el-GR"/>
        </w:rPr>
        <w:t xml:space="preserve"> και την ανάπτυξη επαγγελματικών δεξιοτήτων που θα ανταποκρίνονται στις ανάγκες της τελευταίας. </w:t>
      </w:r>
    </w:p>
    <w:p w14:paraId="1018CA12" w14:textId="77777777" w:rsidR="00496867" w:rsidRPr="00496867" w:rsidRDefault="00496867" w:rsidP="00130BC4">
      <w:pPr>
        <w:numPr>
          <w:ilvl w:val="0"/>
          <w:numId w:val="18"/>
        </w:numPr>
        <w:ind w:left="567" w:hanging="141"/>
        <w:jc w:val="both"/>
        <w:rPr>
          <w:rFonts w:cs="Calibri"/>
          <w:b/>
          <w:i/>
          <w:iCs/>
          <w:color w:val="000000"/>
          <w:u w:val="single"/>
          <w:lang w:val="el-GR"/>
        </w:rPr>
      </w:pPr>
      <w:r w:rsidRPr="00496867">
        <w:rPr>
          <w:rFonts w:cs="Calibri"/>
          <w:b/>
          <w:i/>
          <w:iCs/>
          <w:color w:val="000000"/>
          <w:u w:val="single"/>
          <w:lang w:val="el-GR"/>
        </w:rPr>
        <w:lastRenderedPageBreak/>
        <w:t>Προώθηση της βιώσιμης απασχόλησης υψηλής ποιότητας και υποστήριξη της κινητικότητας των εργαζομένων (Θ.Σ. 8)</w:t>
      </w:r>
    </w:p>
    <w:p w14:paraId="220CCA91" w14:textId="77777777" w:rsidR="00496867" w:rsidRPr="00496867" w:rsidRDefault="00496867" w:rsidP="00130BC4">
      <w:pPr>
        <w:ind w:left="567"/>
        <w:jc w:val="both"/>
        <w:rPr>
          <w:rFonts w:cs="Calibri"/>
          <w:iCs/>
          <w:lang w:val="el-GR"/>
        </w:rPr>
      </w:pPr>
      <w:r w:rsidRPr="00496867">
        <w:rPr>
          <w:rFonts w:cs="Calibri"/>
          <w:iCs/>
          <w:lang w:val="el-GR"/>
        </w:rPr>
        <w:t>Αν</w:t>
      </w:r>
      <w:r w:rsidRPr="00496867">
        <w:rPr>
          <w:rFonts w:cs="Calibri"/>
          <w:lang w:val="el-GR"/>
        </w:rPr>
        <w:t xml:space="preserve"> και η </w:t>
      </w:r>
      <w:r w:rsidRPr="00496867">
        <w:rPr>
          <w:rFonts w:cs="Calibri"/>
          <w:b/>
          <w:lang w:val="el-GR"/>
        </w:rPr>
        <w:t>ανεργία έχει μειωθεί</w:t>
      </w:r>
      <w:r w:rsidRPr="00496867">
        <w:rPr>
          <w:rFonts w:cs="Calibri"/>
          <w:lang w:val="el-GR"/>
        </w:rPr>
        <w:t xml:space="preserve"> </w:t>
      </w:r>
      <w:r w:rsidRPr="00496867">
        <w:rPr>
          <w:rFonts w:cs="Calibri"/>
          <w:b/>
          <w:lang w:val="el-GR"/>
        </w:rPr>
        <w:t>από το ανώτατο ποσοστό του 16,5% το 2014 σε 13,2 % το τρίτο τρίμηνο του 2016 παραμένει υψηλή</w:t>
      </w:r>
      <w:r w:rsidRPr="00496867">
        <w:rPr>
          <w:rFonts w:cs="Calibri"/>
          <w:lang w:val="el-GR"/>
        </w:rPr>
        <w:t xml:space="preserve">, ιδιαίτερα σε σύγκριση με το επίπεδο του 5% που βρισκόταν πριν την κρίση. Ιδιαίτερα η </w:t>
      </w:r>
      <w:r w:rsidRPr="00496867">
        <w:rPr>
          <w:rFonts w:cs="Calibri"/>
          <w:b/>
          <w:lang w:val="el-GR"/>
        </w:rPr>
        <w:t>ανεργία των νέων και η μακροχρόνια ανεργία συνεχίζουν να βρίσκονται σε υψηλά επίπεδα</w:t>
      </w:r>
      <w:r w:rsidRPr="00496867">
        <w:rPr>
          <w:rFonts w:cs="Calibri"/>
          <w:lang w:val="el-GR"/>
        </w:rPr>
        <w:t xml:space="preserve"> (29,9% και 5,8% αντίστοιχα), </w:t>
      </w:r>
      <w:r w:rsidRPr="00496867">
        <w:rPr>
          <w:rFonts w:cs="Calibri"/>
          <w:b/>
          <w:lang w:val="el-GR"/>
        </w:rPr>
        <w:t>παρά την πτωτική τους τάση</w:t>
      </w:r>
      <w:r w:rsidRPr="00496867">
        <w:rPr>
          <w:rFonts w:cs="Calibri"/>
          <w:lang w:val="el-GR"/>
        </w:rPr>
        <w:t xml:space="preserve">. </w:t>
      </w:r>
      <w:r w:rsidRPr="00496867">
        <w:rPr>
          <w:rFonts w:cs="Calibri"/>
          <w:iCs/>
          <w:lang w:val="el-GR"/>
        </w:rPr>
        <w:t xml:space="preserve">Η </w:t>
      </w:r>
      <w:r w:rsidRPr="00496867">
        <w:rPr>
          <w:rFonts w:cs="Calibri"/>
          <w:b/>
          <w:iCs/>
          <w:lang w:val="el-GR"/>
        </w:rPr>
        <w:t>αντιμετώπιση της αλματώδους αύξησης της ανεργίας</w:t>
      </w:r>
      <w:r w:rsidRPr="00496867">
        <w:rPr>
          <w:rFonts w:cs="Calibri"/>
          <w:iCs/>
          <w:lang w:val="el-GR"/>
        </w:rPr>
        <w:t xml:space="preserve"> </w:t>
      </w:r>
      <w:r w:rsidRPr="00496867">
        <w:rPr>
          <w:rFonts w:cs="Calibri"/>
          <w:b/>
          <w:iCs/>
          <w:lang w:val="el-GR"/>
        </w:rPr>
        <w:t xml:space="preserve">και της μείωσης της απασχόλησης </w:t>
      </w:r>
      <w:r w:rsidRPr="00496867">
        <w:rPr>
          <w:rFonts w:cs="Calibri"/>
          <w:iCs/>
          <w:lang w:val="el-GR"/>
        </w:rPr>
        <w:t xml:space="preserve">σε σχέση με την περίοδο πριν την κρίση αποτελεί </w:t>
      </w:r>
      <w:r w:rsidRPr="00496867">
        <w:rPr>
          <w:rFonts w:cs="Calibri"/>
          <w:b/>
          <w:iCs/>
          <w:lang w:val="el-GR"/>
        </w:rPr>
        <w:t>κύρια προτεραιότητα του ΕΚΤ</w:t>
      </w:r>
      <w:r w:rsidR="00F77A80">
        <w:rPr>
          <w:rFonts w:cs="Calibri"/>
          <w:iCs/>
          <w:lang w:val="el-GR"/>
        </w:rPr>
        <w:t>. Σχεδόν τ</w:t>
      </w:r>
      <w:r w:rsidRPr="00496867">
        <w:rPr>
          <w:rFonts w:cs="Calibri"/>
          <w:iCs/>
          <w:lang w:val="el-GR"/>
        </w:rPr>
        <w:t xml:space="preserve">ο </w:t>
      </w:r>
      <w:r w:rsidRPr="00496867">
        <w:rPr>
          <w:rFonts w:cs="Calibri"/>
          <w:b/>
          <w:iCs/>
          <w:lang w:val="el-GR"/>
        </w:rPr>
        <w:t>58% των πόρων του Ταμείου</w:t>
      </w:r>
      <w:r w:rsidRPr="00496867">
        <w:rPr>
          <w:rFonts w:cs="Calibri"/>
          <w:iCs/>
          <w:lang w:val="el-GR"/>
        </w:rPr>
        <w:t xml:space="preserve"> αφιερώνεται στην επίτευξη αυτού του στόχου, συμβάλλοντας κατά σχεδόν </w:t>
      </w:r>
      <w:r w:rsidR="00B50EDB">
        <w:rPr>
          <w:rFonts w:cs="Calibri"/>
          <w:b/>
          <w:iCs/>
          <w:lang w:val="el-GR"/>
        </w:rPr>
        <w:t>8</w:t>
      </w:r>
      <w:r w:rsidR="00B50EDB" w:rsidRPr="00B50EDB">
        <w:rPr>
          <w:rFonts w:cs="Calibri"/>
          <w:b/>
          <w:iCs/>
          <w:lang w:val="el-GR"/>
        </w:rPr>
        <w:t>7,5</w:t>
      </w:r>
      <w:r w:rsidRPr="00496867">
        <w:rPr>
          <w:rFonts w:cs="Calibri"/>
          <w:b/>
          <w:iCs/>
          <w:lang w:val="el-GR"/>
        </w:rPr>
        <w:t xml:space="preserve">% στους πόρους του Θ.Σ. 8 </w:t>
      </w:r>
      <w:r w:rsidRPr="00496867">
        <w:rPr>
          <w:rFonts w:cs="Calibri"/>
          <w:iCs/>
          <w:lang w:val="el-GR"/>
        </w:rPr>
        <w:t xml:space="preserve">της ΣΕΣ. Οι </w:t>
      </w:r>
      <w:r w:rsidRPr="00496867">
        <w:rPr>
          <w:rFonts w:cs="Calibri"/>
          <w:b/>
          <w:iCs/>
          <w:lang w:val="el-GR"/>
        </w:rPr>
        <w:t>στοχευμένες παρεμβάσεις</w:t>
      </w:r>
      <w:r w:rsidRPr="00496867">
        <w:rPr>
          <w:rFonts w:cs="Calibri"/>
          <w:iCs/>
          <w:lang w:val="el-GR"/>
        </w:rPr>
        <w:t xml:space="preserve"> </w:t>
      </w:r>
      <w:r w:rsidRPr="00496867">
        <w:rPr>
          <w:rFonts w:cs="Calibri"/>
          <w:b/>
          <w:iCs/>
          <w:lang w:val="el-GR"/>
        </w:rPr>
        <w:t>μέσω των ΕΔΕΤ</w:t>
      </w:r>
      <w:r w:rsidRPr="00496867">
        <w:rPr>
          <w:rFonts w:cs="Calibri"/>
          <w:iCs/>
          <w:lang w:val="el-GR"/>
        </w:rPr>
        <w:t xml:space="preserve"> αφορούν στη βελτίωση της πρόσβασης στην απασχόληση ανέργων με έμφαση σε ομάδες που έχουν πληγεί ιδιαίτερα ένεκα της οικονομικής κρίσης, στην αναβάθμιση της Δημόσιας Υπηρεσίας Απασχόλησης και τη βελτίωση της ένταξης των νέων στην αγορά εργασίας.</w:t>
      </w:r>
    </w:p>
    <w:p w14:paraId="5FC3CEBA" w14:textId="77777777" w:rsidR="00496867" w:rsidRPr="00496867" w:rsidRDefault="00496867" w:rsidP="00130BC4">
      <w:pPr>
        <w:ind w:left="567"/>
        <w:jc w:val="both"/>
        <w:rPr>
          <w:rFonts w:cs="Calibri"/>
          <w:iCs/>
          <w:lang w:val="el-GR"/>
        </w:rPr>
      </w:pPr>
      <w:r w:rsidRPr="00496867">
        <w:rPr>
          <w:rFonts w:cs="Calibri"/>
          <w:lang w:val="el-GR"/>
        </w:rPr>
        <w:t>Ειδικά</w:t>
      </w:r>
      <w:r w:rsidRPr="00496867">
        <w:rPr>
          <w:rFonts w:cs="Calibri"/>
          <w:iCs/>
          <w:lang w:val="el-GR"/>
        </w:rPr>
        <w:t xml:space="preserve"> </w:t>
      </w:r>
      <w:r w:rsidRPr="00496867">
        <w:rPr>
          <w:rFonts w:cs="Calibri"/>
          <w:lang w:val="el-GR"/>
        </w:rPr>
        <w:t>μέσω</w:t>
      </w:r>
      <w:r w:rsidRPr="00496867">
        <w:rPr>
          <w:rFonts w:cs="Calibri"/>
          <w:b/>
          <w:iCs/>
          <w:lang w:val="el-GR"/>
        </w:rPr>
        <w:t xml:space="preserve"> του ΕΚΤ</w:t>
      </w:r>
      <w:r w:rsidRPr="00496867">
        <w:rPr>
          <w:rFonts w:cs="Calibri"/>
          <w:iCs/>
          <w:lang w:val="el-GR"/>
        </w:rPr>
        <w:t xml:space="preserve"> επιδιώκεται η μείωση της ανεργίας ανέργων που ανήκουν σε διάφορες κατηγορίες (νέοι, γυναίκες, μακροχρόνια άνεργοι κ.α.) συμβάλλοντας στον εθνικό στόχο του ΕΜΠ για την απασχόληση (75‐77% έως το 2020). Επίσης, επιδιώκεται η ενίσχυση της απήχησης των ενεργητικών πολιτικών για την απασχόληση, η αναβάθμιση των παρεχόμενων υπηρεσιών της Δημόσιας Υπηρεσίας Απασχόλησης και η αύξηση της κινητικότητας των εργαζομένων σε χώρες της ΕΕ μέσω του δικτύου ΕURES. </w:t>
      </w:r>
      <w:r w:rsidRPr="00496867">
        <w:rPr>
          <w:rFonts w:cs="Calibri"/>
          <w:b/>
          <w:iCs/>
          <w:lang w:val="el-GR"/>
        </w:rPr>
        <w:t>Μέχρι την 31/12/2016</w:t>
      </w:r>
      <w:r w:rsidRPr="00496867">
        <w:rPr>
          <w:rFonts w:cs="Calibri"/>
          <w:iCs/>
          <w:lang w:val="el-GR"/>
        </w:rPr>
        <w:t xml:space="preserve"> είχαν εγκριθεί </w:t>
      </w:r>
      <w:r w:rsidRPr="00496867">
        <w:rPr>
          <w:rFonts w:cs="Calibri"/>
          <w:b/>
          <w:iCs/>
          <w:lang w:val="el-GR"/>
        </w:rPr>
        <w:t>2 Σχέδια Χορηγιών</w:t>
      </w:r>
      <w:r w:rsidRPr="00496867">
        <w:rPr>
          <w:rFonts w:cs="Calibri"/>
          <w:iCs/>
          <w:lang w:val="el-GR"/>
        </w:rPr>
        <w:t xml:space="preserve">, τα οποία είχαν προκηρυχθεί και άρχισαν να υλοποιούνται το 2014 και 2015 και αφορούσαν την </w:t>
      </w:r>
      <w:r w:rsidRPr="00496867">
        <w:rPr>
          <w:rFonts w:cs="Calibri"/>
          <w:b/>
          <w:iCs/>
          <w:lang w:val="el-GR"/>
        </w:rPr>
        <w:t>επιδότηση πρακτικής κατάρτισης συνδυασμένης με επιδότηση της εργοδότησης</w:t>
      </w:r>
      <w:r w:rsidRPr="00496867">
        <w:rPr>
          <w:rFonts w:cs="Calibri"/>
          <w:iCs/>
          <w:lang w:val="el-GR"/>
        </w:rPr>
        <w:t xml:space="preserve"> και την </w:t>
      </w:r>
      <w:r w:rsidRPr="00496867">
        <w:rPr>
          <w:rFonts w:cs="Calibri"/>
          <w:b/>
          <w:iCs/>
          <w:lang w:val="el-GR"/>
        </w:rPr>
        <w:t>παροχή κινήτρων για την εργοδότηση ανέργων</w:t>
      </w:r>
      <w:r w:rsidRPr="00496867">
        <w:rPr>
          <w:rFonts w:cs="Calibri"/>
          <w:iCs/>
          <w:lang w:val="el-GR"/>
        </w:rPr>
        <w:t xml:space="preserve">. Στο πλαίσιο των 2 σχεδίων </w:t>
      </w:r>
      <w:r w:rsidRPr="00496867">
        <w:rPr>
          <w:lang w:val="el-GR"/>
        </w:rPr>
        <w:t xml:space="preserve">υποβλήθηκαν συνολικά </w:t>
      </w:r>
      <w:r w:rsidRPr="00496867">
        <w:rPr>
          <w:b/>
          <w:lang w:val="el-GR"/>
        </w:rPr>
        <w:t>2.994 αιτήσεις</w:t>
      </w:r>
      <w:r w:rsidRPr="00496867">
        <w:rPr>
          <w:lang w:val="el-GR"/>
        </w:rPr>
        <w:t xml:space="preserve"> και υπογράφτηκαν </w:t>
      </w:r>
      <w:r w:rsidRPr="00496867">
        <w:rPr>
          <w:b/>
          <w:lang w:val="el-GR"/>
        </w:rPr>
        <w:t>2.515 ΣΔΧ, ύψους €13,4 εκ</w:t>
      </w:r>
      <w:r w:rsidRPr="00496867">
        <w:rPr>
          <w:lang w:val="el-GR"/>
        </w:rPr>
        <w:t xml:space="preserve">. Ένα ακόμα </w:t>
      </w:r>
      <w:r w:rsidRPr="00496867">
        <w:rPr>
          <w:b/>
          <w:lang w:val="el-GR"/>
        </w:rPr>
        <w:t>Σχέδιο Παροχής Κινήτρων για την Εργοδότηση Ανέργων Νέων μέχρι 25 ετών</w:t>
      </w:r>
      <w:r w:rsidRPr="00496867">
        <w:rPr>
          <w:lang w:val="el-GR"/>
        </w:rPr>
        <w:t>,</w:t>
      </w:r>
      <w:r w:rsidRPr="00496867">
        <w:rPr>
          <w:rFonts w:cs="Calibri"/>
          <w:iCs/>
          <w:lang w:val="el-GR"/>
        </w:rPr>
        <w:t xml:space="preserve"> με π/υ €4,0εκ.  προκηρύχτηκε το Νοέμβριο του 2016. Στο πλαίσιο του ίδιου Θ.Σ. </w:t>
      </w:r>
      <w:r w:rsidRPr="00496867">
        <w:rPr>
          <w:lang w:val="el-GR"/>
        </w:rPr>
        <w:t xml:space="preserve">εγκρίθηκε τον Οκτώβριο 2016 το έργο </w:t>
      </w:r>
      <w:r w:rsidRPr="00496867">
        <w:rPr>
          <w:b/>
          <w:lang w:val="el-GR"/>
        </w:rPr>
        <w:t>«Υγιείς Εργασιακές Σχέσεις, Σύγχρονες Επιχειρήσεις-Φάση Β'»,</w:t>
      </w:r>
      <w:r w:rsidRPr="00496867">
        <w:rPr>
          <w:lang w:val="el-GR"/>
        </w:rPr>
        <w:t xml:space="preserve"> π/υ €2εκ., και </w:t>
      </w:r>
      <w:r w:rsidRPr="00496867">
        <w:rPr>
          <w:rFonts w:cs="Calibri"/>
          <w:iCs/>
          <w:lang w:val="el-GR"/>
        </w:rPr>
        <w:t xml:space="preserve">το Μάιο 2016 το έργο </w:t>
      </w:r>
      <w:r w:rsidRPr="00496867">
        <w:rPr>
          <w:rFonts w:cs="Calibri"/>
          <w:b/>
          <w:iCs/>
          <w:lang w:val="el-GR"/>
        </w:rPr>
        <w:t>«Σχέδιο Τοποθέτησης Άνεργων Νέων Αποφοίτων Γυμνασίων, Λυκείων, Τεχνικών Σχολών και Μεταλυκειακής Εκπαίδευσης μέχρι και Διετούς Διάρκειας για Απόκτηση Εργασιακής Πείρας σε Επιχειρήσεις/Οργανισμούς»</w:t>
      </w:r>
      <w:r w:rsidRPr="00496867">
        <w:rPr>
          <w:rFonts w:cs="Calibri"/>
          <w:iCs/>
          <w:lang w:val="el-GR"/>
        </w:rPr>
        <w:t xml:space="preserve"> που</w:t>
      </w:r>
      <w:r w:rsidRPr="00496867">
        <w:rPr>
          <w:rFonts w:cs="Calibri"/>
          <w:bCs/>
          <w:lang w:val="el-GR"/>
        </w:rPr>
        <w:t xml:space="preserve"> είχε προκηρυχθεί σε 2 φάσεις (2014 &amp; 2015)</w:t>
      </w:r>
      <w:r w:rsidRPr="00496867">
        <w:rPr>
          <w:rFonts w:cs="Calibri"/>
          <w:iCs/>
          <w:lang w:val="el-GR"/>
        </w:rPr>
        <w:t xml:space="preserve">. </w:t>
      </w:r>
      <w:r w:rsidRPr="00496867">
        <w:rPr>
          <w:lang w:val="el-GR"/>
        </w:rPr>
        <w:t xml:space="preserve">Συνολικά, υποβλήθηκαν αιτήσεις από </w:t>
      </w:r>
      <w:r w:rsidRPr="00496867">
        <w:rPr>
          <w:b/>
          <w:bCs/>
          <w:lang w:val="el-GR"/>
        </w:rPr>
        <w:t>3.277</w:t>
      </w:r>
      <w:r w:rsidRPr="00496867">
        <w:rPr>
          <w:lang w:val="el-GR"/>
        </w:rPr>
        <w:t xml:space="preserve"> άνεργους νέους και </w:t>
      </w:r>
      <w:r w:rsidRPr="00496867">
        <w:rPr>
          <w:b/>
          <w:bCs/>
          <w:lang w:val="el-GR"/>
        </w:rPr>
        <w:t>2.138</w:t>
      </w:r>
      <w:r w:rsidRPr="00496867">
        <w:rPr>
          <w:lang w:val="el-GR"/>
        </w:rPr>
        <w:t xml:space="preserve"> επιχειρήσεις/οργανισμούς. Μέχρι τις 31/12/2016 επωφελήθηκαν συνολικά </w:t>
      </w:r>
      <w:r w:rsidRPr="00496867">
        <w:rPr>
          <w:b/>
          <w:lang w:val="el-GR"/>
        </w:rPr>
        <w:t xml:space="preserve">1.774 </w:t>
      </w:r>
      <w:r w:rsidRPr="00496867">
        <w:rPr>
          <w:lang w:val="el-GR"/>
        </w:rPr>
        <w:t xml:space="preserve">άνεργοι νέοι, εκ των οποίων οι </w:t>
      </w:r>
      <w:r w:rsidRPr="00496867">
        <w:rPr>
          <w:b/>
          <w:lang w:val="el-GR"/>
        </w:rPr>
        <w:t>1.322</w:t>
      </w:r>
      <w:r w:rsidRPr="00496867">
        <w:rPr>
          <w:lang w:val="el-GR"/>
        </w:rPr>
        <w:t xml:space="preserve"> ολοκλήρωσαν με επιτυχία το πρόγραμμα τοποθέτησής τους. Τέλος, </w:t>
      </w:r>
      <w:r w:rsidRPr="00496867">
        <w:rPr>
          <w:rFonts w:cs="Calibri"/>
          <w:iCs/>
          <w:lang w:val="el-GR"/>
        </w:rPr>
        <w:t xml:space="preserve">εγκρίθηκε το έργο </w:t>
      </w:r>
      <w:r w:rsidRPr="00496867">
        <w:rPr>
          <w:b/>
          <w:lang w:val="el-GR"/>
        </w:rPr>
        <w:t>«Σχέδιο τοποθέτησης άνεργων νέων πτυχιούχων για απόκτηση εργασιακής πείρας σε επιχειρήσεις/οργανισμούς»</w:t>
      </w:r>
      <w:r w:rsidRPr="00496867">
        <w:rPr>
          <w:rFonts w:cs="Calibri"/>
          <w:bCs/>
          <w:lang w:val="el-GR"/>
        </w:rPr>
        <w:t xml:space="preserve"> που είχε προκηρυχθεί το 2015</w:t>
      </w:r>
      <w:r w:rsidRPr="00496867">
        <w:rPr>
          <w:rFonts w:cs="Calibri"/>
          <w:iCs/>
          <w:lang w:val="el-GR"/>
        </w:rPr>
        <w:t>, με προϋπολογισμό €6,4εκ. Συνολικά υ</w:t>
      </w:r>
      <w:r w:rsidRPr="00496867">
        <w:rPr>
          <w:lang w:val="el-GR"/>
        </w:rPr>
        <w:t xml:space="preserve">ποβλήθηκαν αιτήσεις από </w:t>
      </w:r>
      <w:r w:rsidRPr="00496867">
        <w:rPr>
          <w:b/>
          <w:bCs/>
          <w:lang w:val="el-GR"/>
        </w:rPr>
        <w:t>2.937</w:t>
      </w:r>
      <w:r w:rsidRPr="00496867">
        <w:rPr>
          <w:lang w:val="el-GR"/>
        </w:rPr>
        <w:t xml:space="preserve"> άνεργους νέους πτυχιούχους και </w:t>
      </w:r>
      <w:r w:rsidRPr="00496867">
        <w:rPr>
          <w:b/>
          <w:bCs/>
          <w:lang w:val="el-GR"/>
        </w:rPr>
        <w:t>1.146</w:t>
      </w:r>
      <w:r w:rsidRPr="00496867">
        <w:rPr>
          <w:lang w:val="el-GR"/>
        </w:rPr>
        <w:t xml:space="preserve"> επιχειρήσεις/οργανισμούς. Μέχρι τις </w:t>
      </w:r>
      <w:r w:rsidRPr="00496867">
        <w:rPr>
          <w:bCs/>
          <w:lang w:val="el-GR"/>
        </w:rPr>
        <w:t>31/12/2016</w:t>
      </w:r>
      <w:r w:rsidRPr="00496867">
        <w:rPr>
          <w:lang w:val="el-GR"/>
        </w:rPr>
        <w:t xml:space="preserve"> επωφελήθηκαν </w:t>
      </w:r>
      <w:r w:rsidRPr="00496867">
        <w:rPr>
          <w:b/>
          <w:bCs/>
          <w:lang w:val="el-GR"/>
        </w:rPr>
        <w:t>1.642</w:t>
      </w:r>
      <w:r w:rsidRPr="00496867">
        <w:rPr>
          <w:lang w:val="el-GR"/>
        </w:rPr>
        <w:t xml:space="preserve"> </w:t>
      </w:r>
      <w:r w:rsidRPr="00496867">
        <w:rPr>
          <w:rFonts w:cs="Calibri"/>
          <w:iCs/>
          <w:lang w:val="el-GR"/>
        </w:rPr>
        <w:t>άνεργοι</w:t>
      </w:r>
      <w:r w:rsidRPr="00496867">
        <w:rPr>
          <w:lang w:val="el-GR"/>
        </w:rPr>
        <w:t xml:space="preserve"> νέοι πτυχιούχοι, εκ των οποίων οι </w:t>
      </w:r>
      <w:r w:rsidRPr="00496867">
        <w:rPr>
          <w:b/>
          <w:bCs/>
          <w:lang w:val="el-GR"/>
        </w:rPr>
        <w:t>1.339</w:t>
      </w:r>
      <w:r w:rsidRPr="00496867">
        <w:rPr>
          <w:lang w:val="el-GR"/>
        </w:rPr>
        <w:t xml:space="preserve"> ολοκλήρωσαν με επιτυχία το πρόγραμμα τοποθέτησής τους. </w:t>
      </w:r>
      <w:r w:rsidRPr="00496867">
        <w:rPr>
          <w:rFonts w:cs="Calibri"/>
          <w:iCs/>
          <w:lang w:val="el-GR"/>
        </w:rPr>
        <w:t xml:space="preserve">Παράλληλα, μετά από κατ’ αρχήν έγκριση της Διαχειριστικής Αρχής άρχισαν να υλοποιούνται με εθνικούς πόρους τα έργα: </w:t>
      </w:r>
      <w:r w:rsidRPr="00496867">
        <w:rPr>
          <w:rFonts w:cs="Calibri"/>
          <w:b/>
          <w:iCs/>
          <w:lang w:val="el-GR"/>
        </w:rPr>
        <w:t>«Λειτουργία του Δικτύου EURES στην Κύπρο»</w:t>
      </w:r>
      <w:r w:rsidRPr="00496867">
        <w:rPr>
          <w:rFonts w:cs="Calibri"/>
          <w:iCs/>
          <w:lang w:val="el-GR"/>
        </w:rPr>
        <w:t xml:space="preserve"> με π/υ €0,5εκ. και </w:t>
      </w:r>
      <w:r w:rsidRPr="00496867">
        <w:rPr>
          <w:rFonts w:cs="Calibri"/>
          <w:b/>
          <w:iCs/>
          <w:lang w:val="el-GR"/>
        </w:rPr>
        <w:t>«Σύμπραξη με Ιδιωτικά Γραφεία Εξευρέσεως Εργασίας για Προώθηση της Απασχόλησης»</w:t>
      </w:r>
      <w:r w:rsidRPr="00496867">
        <w:rPr>
          <w:rFonts w:cs="Calibri"/>
          <w:iCs/>
          <w:lang w:val="el-GR"/>
        </w:rPr>
        <w:t xml:space="preserve"> με π/υ €0,5εκ.  Ένα σημαντικό μέτρο διαρθρωτικού χαρακτήρα για τη βελτίωση της απασχολησιμότητας, που αφορά την αναβάθμιση της Δημόσιας Υπηρεσίας </w:t>
      </w:r>
      <w:r w:rsidRPr="00496867">
        <w:rPr>
          <w:rFonts w:cs="Calibri"/>
          <w:iCs/>
          <w:lang w:val="el-GR"/>
        </w:rPr>
        <w:lastRenderedPageBreak/>
        <w:t xml:space="preserve">Απασχόλησης, τέθηκε σε τροχιά υλοποίησης με την έκδοση της σχετικής πρόσκλησης το Φεβρουάριο του 2017. </w:t>
      </w:r>
    </w:p>
    <w:p w14:paraId="75DE9C4B" w14:textId="77777777" w:rsidR="00496867" w:rsidRPr="00496867" w:rsidRDefault="00496867" w:rsidP="00130BC4">
      <w:pPr>
        <w:ind w:left="567"/>
        <w:jc w:val="both"/>
        <w:rPr>
          <w:rFonts w:cs="Calibri"/>
          <w:iCs/>
          <w:lang w:val="el-GR"/>
        </w:rPr>
      </w:pPr>
      <w:r w:rsidRPr="00496867">
        <w:rPr>
          <w:rFonts w:cs="Calibri"/>
          <w:iCs/>
          <w:lang w:val="el-GR"/>
        </w:rPr>
        <w:t xml:space="preserve">Παρά τον </w:t>
      </w:r>
      <w:r w:rsidRPr="00496867">
        <w:rPr>
          <w:rFonts w:cs="Calibri"/>
          <w:b/>
          <w:iCs/>
          <w:lang w:val="el-GR"/>
        </w:rPr>
        <w:t>αξιόλογο βαθμό ενεργοποίησης δράσεων</w:t>
      </w:r>
      <w:r w:rsidRPr="00496867">
        <w:rPr>
          <w:rFonts w:cs="Calibri"/>
          <w:iCs/>
          <w:lang w:val="el-GR"/>
        </w:rPr>
        <w:t xml:space="preserve"> στο πλαίσιο του Θ.Σ.8 μέσω του ΕΚΤ, </w:t>
      </w:r>
      <w:r w:rsidRPr="00496867">
        <w:rPr>
          <w:rFonts w:cs="Calibri"/>
          <w:b/>
          <w:iCs/>
          <w:lang w:val="el-GR"/>
        </w:rPr>
        <w:t xml:space="preserve">δεν προκύπτει ανάλογη πρόοδος ούτε ως προς τα επιδιωκόμενα αποτελέσματα ούτε ως προς την πρόοδο των σχετικών με το Θ.Σ. δεικτών του πλαισίου επίδοσης </w:t>
      </w:r>
      <w:r w:rsidRPr="00496867">
        <w:rPr>
          <w:b/>
          <w:lang w:val="el-GR"/>
        </w:rPr>
        <w:t>του Ε.Π. «Απασχόληση, Ανθρώπινοι Πόροι και Κοινωνική Συνοχή»</w:t>
      </w:r>
      <w:r w:rsidRPr="00496867">
        <w:rPr>
          <w:rFonts w:cs="Calibri"/>
          <w:iCs/>
          <w:lang w:val="el-GR"/>
        </w:rPr>
        <w:t xml:space="preserve">. Συγκεκριμένα, σε ότι αφορά το δείκτη εκροών </w:t>
      </w:r>
      <w:r w:rsidRPr="00496867">
        <w:rPr>
          <w:rFonts w:cs="Calibri"/>
          <w:iCs/>
        </w:rPr>
        <w:t>CO</w:t>
      </w:r>
      <w:r w:rsidRPr="00496867">
        <w:rPr>
          <w:rFonts w:cs="Calibri"/>
          <w:iCs/>
          <w:lang w:val="el-GR"/>
        </w:rPr>
        <w:t xml:space="preserve">01: Άνεργοι, συμπεριλαμβανομένων των μακροχρόνια ανέργων καταγράφεται μηδενικός βαθμός προόδου υλοποίησης της τιμής στόχου (2.800, Ορόσημο 2018), ενώ σε ότι αφορά το δείκτη  Ε8221: Άνεργοι συμπεριλαμβανομένων των μακροχρόνια ανέργων κάτω των 25 ετών, το ποσοστό επίτευξης της τιμής στόχου για το Ορόσημο 2018 είναι μόλις 31%. Για το δείκτη Ε8222: Άνεργοι συμπεριλαμβανομένων των μακροχρόνια ανέργων 15-29 ετών, το ποσοστό επίτευξης της τιμής στόχου για το Ορόσημο 2018 είναι σχεδόν 75%. Σχετικά περιορισμένη όμως είναι η συμβολή στην επίτευξη του Οροσήμου 2018 και για τους χρηματοοικονομικούς δείκτες που συνδέονται με το Θ.Σ.8. Συγκεκριμένα, ο ΧΔ </w:t>
      </w:r>
      <w:r w:rsidRPr="00496867">
        <w:rPr>
          <w:rFonts w:cs="Calibri"/>
          <w:iCs/>
        </w:rPr>
        <w:t>FI</w:t>
      </w:r>
      <w:r w:rsidRPr="00496867">
        <w:rPr>
          <w:rFonts w:cs="Calibri"/>
          <w:iCs/>
          <w:lang w:val="el-GR"/>
        </w:rPr>
        <w:t xml:space="preserve"> 1 καταγράφει ποσοστό υλοποίησης που αγγίζει μόλις το 1,2%, ο ΧΔ </w:t>
      </w:r>
      <w:r w:rsidRPr="00496867">
        <w:rPr>
          <w:rFonts w:cs="Calibri"/>
          <w:iCs/>
        </w:rPr>
        <w:t>F</w:t>
      </w:r>
      <w:r w:rsidRPr="00496867">
        <w:rPr>
          <w:rFonts w:cs="Calibri"/>
          <w:iCs/>
          <w:lang w:val="el-GR"/>
        </w:rPr>
        <w:t>2</w:t>
      </w:r>
      <w:r w:rsidRPr="00496867">
        <w:rPr>
          <w:rFonts w:cs="Calibri"/>
          <w:iCs/>
        </w:rPr>
        <w:t>YEI</w:t>
      </w:r>
      <w:r w:rsidRPr="00496867">
        <w:rPr>
          <w:rFonts w:cs="Calibri"/>
          <w:iCs/>
          <w:lang w:val="el-GR"/>
        </w:rPr>
        <w:t xml:space="preserve"> ποσοστό 19,5% και οι ΧΔ </w:t>
      </w:r>
      <w:r w:rsidRPr="00496867">
        <w:rPr>
          <w:rFonts w:cs="Calibri"/>
          <w:iCs/>
        </w:rPr>
        <w:t>F</w:t>
      </w:r>
      <w:r w:rsidRPr="00496867">
        <w:rPr>
          <w:rFonts w:cs="Calibri"/>
          <w:iCs/>
          <w:lang w:val="el-GR"/>
        </w:rPr>
        <w:t>2</w:t>
      </w:r>
      <w:r w:rsidRPr="00496867">
        <w:rPr>
          <w:rFonts w:cs="Calibri"/>
          <w:iCs/>
        </w:rPr>
        <w:t>EKT</w:t>
      </w:r>
      <w:r w:rsidRPr="00496867">
        <w:rPr>
          <w:rFonts w:cs="Calibri"/>
          <w:iCs/>
          <w:lang w:val="el-GR"/>
        </w:rPr>
        <w:t xml:space="preserve"> ποσοστό 45,6%. </w:t>
      </w:r>
    </w:p>
    <w:p w14:paraId="781EEA92" w14:textId="77777777" w:rsidR="00496867" w:rsidRPr="00496867" w:rsidRDefault="00496867" w:rsidP="00130BC4">
      <w:pPr>
        <w:ind w:left="567"/>
        <w:jc w:val="both"/>
        <w:rPr>
          <w:rFonts w:cs="Calibri"/>
          <w:iCs/>
          <w:lang w:val="el-GR"/>
        </w:rPr>
      </w:pPr>
      <w:r w:rsidRPr="00496867">
        <w:rPr>
          <w:rFonts w:cs="Calibri"/>
          <w:iCs/>
          <w:lang w:val="el-GR"/>
        </w:rPr>
        <w:t xml:space="preserve">Επίσης, </w:t>
      </w:r>
      <w:r w:rsidRPr="00496867">
        <w:rPr>
          <w:rFonts w:cs="Calibri"/>
          <w:b/>
          <w:iCs/>
          <w:lang w:val="el-GR"/>
        </w:rPr>
        <w:t>μέσω του ΕΓΤΑΑ</w:t>
      </w:r>
      <w:r w:rsidRPr="00496867">
        <w:rPr>
          <w:rFonts w:cs="Calibri"/>
          <w:iCs/>
          <w:lang w:val="el-GR"/>
        </w:rPr>
        <w:t xml:space="preserve"> επιδιώκεται η δημιουργία θέσεων απασχόλησης με έμφαση στους νέους και στις γυναίκες, η ένταξη νεοεισερχόμενων γεωργών και η δημιουργία  νέων  θέσεων  απασχόλησης  σε  μη  γεωργικές  δραστηριότητες  μέσω  στρατηγικών τοπικής ανάπτυξης. Μέχρι το </w:t>
      </w:r>
      <w:r w:rsidRPr="00496867">
        <w:rPr>
          <w:rFonts w:cs="Calibri"/>
          <w:b/>
          <w:iCs/>
          <w:lang w:val="el-GR"/>
        </w:rPr>
        <w:t>τέλος του 2016</w:t>
      </w:r>
      <w:r w:rsidRPr="00496867">
        <w:rPr>
          <w:rFonts w:cs="Calibri"/>
          <w:iCs/>
          <w:lang w:val="el-GR"/>
        </w:rPr>
        <w:t>, μικρό ήταν το αποτύπωμα του ΠΑΑ στο πεδίο της απασχόλησης, προερχόμενο κυρίως από μεμονωμένα έργα που μεταφέρθηκαν από την προηγούμενη προγραμματική περίοδο.</w:t>
      </w:r>
    </w:p>
    <w:p w14:paraId="50F49179" w14:textId="19E6B8EF" w:rsidR="00E94E09" w:rsidRDefault="00496867" w:rsidP="00130BC4">
      <w:pPr>
        <w:ind w:left="567"/>
        <w:jc w:val="both"/>
        <w:rPr>
          <w:rFonts w:cs="Calibri"/>
          <w:iCs/>
          <w:color w:val="000000"/>
          <w:lang w:val="el-GR"/>
        </w:rPr>
      </w:pPr>
      <w:r w:rsidRPr="00496867">
        <w:rPr>
          <w:rFonts w:cs="Calibri"/>
          <w:iCs/>
          <w:color w:val="000000"/>
          <w:lang w:val="el-GR"/>
        </w:rPr>
        <w:t xml:space="preserve">Τέλος, </w:t>
      </w:r>
      <w:r w:rsidRPr="00496867">
        <w:rPr>
          <w:rFonts w:cs="Calibri"/>
          <w:b/>
          <w:iCs/>
          <w:color w:val="000000"/>
          <w:lang w:val="el-GR"/>
        </w:rPr>
        <w:t xml:space="preserve">μέσω του ΕΤΘΑ </w:t>
      </w:r>
      <w:r w:rsidRPr="00496867">
        <w:rPr>
          <w:rFonts w:cs="Calibri"/>
          <w:iCs/>
          <w:color w:val="000000"/>
          <w:lang w:val="el-GR"/>
        </w:rPr>
        <w:t xml:space="preserve">επιδιώκεται η δημιουργία θέσεων εργασίας μέσω της προώθησης και της στήριξης της διαφοροποίησης των αλιευτικών δραστηριοτήτων, η ενίσχυση των επαγγελματικών δεξιοτήτων και η προώθηση της κινητικότητας του εργατικού δυναμικού στον τομέα της αλιείας και της υδατοκαλλιέργειας. Το </w:t>
      </w:r>
      <w:r w:rsidRPr="00496867">
        <w:rPr>
          <w:rFonts w:cs="Calibri"/>
          <w:b/>
          <w:iCs/>
          <w:color w:val="000000"/>
          <w:lang w:val="el-GR"/>
        </w:rPr>
        <w:t>2016 το ΕΤΘΑ</w:t>
      </w:r>
      <w:r w:rsidRPr="00496867">
        <w:rPr>
          <w:rFonts w:cs="Calibri"/>
          <w:iCs/>
          <w:color w:val="000000"/>
          <w:lang w:val="el-GR"/>
        </w:rPr>
        <w:t xml:space="preserve"> συνέβαλλε στην εξυπηρέτηση των στόχων του </w:t>
      </w:r>
      <w:r w:rsidRPr="00496867">
        <w:rPr>
          <w:rFonts w:cs="Calibri"/>
          <w:b/>
          <w:iCs/>
          <w:color w:val="000000"/>
          <w:lang w:val="el-GR"/>
        </w:rPr>
        <w:t>Θ.Σ. 8</w:t>
      </w:r>
      <w:r w:rsidRPr="00496867">
        <w:rPr>
          <w:rFonts w:cs="Calibri"/>
          <w:iCs/>
          <w:color w:val="000000"/>
          <w:lang w:val="el-GR"/>
        </w:rPr>
        <w:t xml:space="preserve"> μέσω της πρόσκλησης </w:t>
      </w:r>
      <w:r w:rsidRPr="00496867">
        <w:rPr>
          <w:rFonts w:cs="Calibri"/>
          <w:b/>
          <w:iCs/>
          <w:color w:val="000000"/>
          <w:lang w:val="el-GR"/>
        </w:rPr>
        <w:t>προϋπολογισμού €7 εκ.</w:t>
      </w:r>
      <w:r w:rsidRPr="00496867">
        <w:rPr>
          <w:rFonts w:cs="Calibri"/>
          <w:iCs/>
          <w:color w:val="000000"/>
          <w:lang w:val="el-GR"/>
        </w:rPr>
        <w:t xml:space="preserve"> για υποβολή των στρατηγικών τοπικής ανάπτυξης από τις Τοπικές Ομάδες Δράσης Αλιείας (ΤΟΔΑ). Η </w:t>
      </w:r>
      <w:r w:rsidRPr="00496867">
        <w:rPr>
          <w:rFonts w:cs="Calibri"/>
          <w:b/>
          <w:iCs/>
          <w:color w:val="000000"/>
          <w:lang w:val="el-GR"/>
        </w:rPr>
        <w:t>υπογραφή συμφωνιών με τρεις ΤΟΔΑ κάλυψε τον στόχο του δείκτη 4.1 του πλαισίου επίδοσης</w:t>
      </w:r>
      <w:r w:rsidRPr="00496867">
        <w:rPr>
          <w:rFonts w:cs="Calibri"/>
          <w:iCs/>
          <w:color w:val="000000"/>
          <w:lang w:val="el-GR"/>
        </w:rPr>
        <w:t xml:space="preserve">. Ωστόσο, καθώς καμία ενέργεια δεν είχε υλοποιηθεί μέχρι την 31/12/2016 το αποτύπωμα του Ταμείου είναι </w:t>
      </w:r>
      <w:r w:rsidRPr="00496867">
        <w:rPr>
          <w:rFonts w:cs="Calibri"/>
          <w:b/>
          <w:iCs/>
          <w:color w:val="000000"/>
          <w:lang w:val="el-GR"/>
        </w:rPr>
        <w:t>μηδενικό όσον αφορά στον δείκτη εκροών 4.3 του πλαισίου επίδοσης</w:t>
      </w:r>
      <w:r w:rsidRPr="00496867">
        <w:rPr>
          <w:rFonts w:cs="Calibri"/>
          <w:iCs/>
          <w:color w:val="000000"/>
          <w:lang w:val="el-GR"/>
        </w:rPr>
        <w:t xml:space="preserve"> και στους επιδιωκόμενους στόχους του στον Θ.Σ.8. Η συμβολή των 3 ΤΟΔΑ θα διαφανεί μέσα στο 2017 καθώς αναμένεται να υλοποιήσουν ενέργειες μέσω του Μέτρου 4.3- Εφαρμογή των στρατηγικών τοπικής ανάπτυξης (συμπεριλαμβανομένων δαπανών λειτουργίας και συντονισμού) και του Μέτρου 4.4 - Δραστηριότητες συνεργασίας, συμβάλλοντας στην επίτευξη του Ειδικού Στόχου της ΠΕ4 που είναι η διατήρηση της κοινωνικής και οικονομικής ευημερίας των περιοχών αλιείας και υδατοκαλλιέργειας, η αξιοποίηση των προϊόντων αλιείας και υδατοκαλλιέργειας, και η διατήρηση και ανάπτυξη θέσεων απασχόλησης στις αλιευτικές περιοχές.  Σε ότι αφορά το Μέτρο 4.1 για την παροχή προπαρασκευαστικής υποστήριξης, καμία ΤΟΔΑ δεν αιτήθηκε τη στήριξη αυτή, επομένως όπως φαίνεται στους χρηματοοικονομικούς πίνακες το ποσό μεταφέρθηκε στα Μέτρα 4.3 και 4.4. </w:t>
      </w:r>
    </w:p>
    <w:p w14:paraId="43516DE9" w14:textId="77777777" w:rsidR="00130BC4" w:rsidRPr="00496867" w:rsidRDefault="00130BC4" w:rsidP="00130BC4">
      <w:pPr>
        <w:ind w:left="567"/>
        <w:jc w:val="both"/>
        <w:rPr>
          <w:rFonts w:cs="Calibri"/>
          <w:iCs/>
          <w:color w:val="000000"/>
          <w:lang w:val="el-GR"/>
        </w:rPr>
      </w:pPr>
    </w:p>
    <w:p w14:paraId="5A66B357" w14:textId="77777777" w:rsidR="00496867" w:rsidRPr="00496867" w:rsidRDefault="00496867" w:rsidP="00130BC4">
      <w:pPr>
        <w:numPr>
          <w:ilvl w:val="0"/>
          <w:numId w:val="18"/>
        </w:numPr>
        <w:ind w:left="567" w:hanging="141"/>
        <w:jc w:val="both"/>
        <w:rPr>
          <w:rFonts w:cs="Calibri"/>
          <w:b/>
          <w:i/>
          <w:iCs/>
          <w:color w:val="000000"/>
          <w:u w:val="single"/>
          <w:lang w:val="el-GR"/>
        </w:rPr>
      </w:pPr>
      <w:r w:rsidRPr="00496867">
        <w:rPr>
          <w:rFonts w:cs="Calibri"/>
          <w:b/>
          <w:i/>
          <w:iCs/>
          <w:color w:val="000000"/>
          <w:u w:val="single"/>
          <w:lang w:val="el-GR"/>
        </w:rPr>
        <w:lastRenderedPageBreak/>
        <w:t>Προώθηση της κοινωνικής ένταξης και καταπολέμηση της φτώχειας και των διακρίσεων (Θ.Σ. 9)</w:t>
      </w:r>
    </w:p>
    <w:p w14:paraId="30FB098A"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Κατά την περίοδο της οικονομικής ύφεσης οι περικοπές στον προϋπολογισμό για την κοινωνική προστασία λόγω της δημοσιονομικής προσαρμογής αύξησαν σημαντικά τον κίνδυνο της φτώχειας και του κοινωνικού αποκλεισμού. Η μείωση που παρατηρείται στο επίπεδο της ανεργίας και η βελτίωση στην αγορά εργασίας δεν έχει προλάβει να αποτυπωθεί στους κοινωνικούς δείκτες με αποτέλεσμα αυτοί να συνεχίζουν να επιδεινώνονται, ιδίως όσον αφορά στις ευάλωτες κοινωνικές ομάδες. Στο </w:t>
      </w:r>
      <w:r w:rsidRPr="00496867">
        <w:rPr>
          <w:rFonts w:cs="Calibri"/>
          <w:b/>
          <w:iCs/>
          <w:color w:val="000000"/>
          <w:lang w:val="el-GR"/>
        </w:rPr>
        <w:t>πλαίσιο του Θ.Σ. 9 μέσω των ΕΔΕΤ</w:t>
      </w:r>
      <w:r w:rsidRPr="00496867">
        <w:rPr>
          <w:rFonts w:cs="Calibri"/>
          <w:iCs/>
          <w:color w:val="000000"/>
          <w:lang w:val="el-GR"/>
        </w:rPr>
        <w:t xml:space="preserve"> προωθούνται ενεργητικές πολιτικές ένταξης, η καταπολέμηση των διακρίσεων,  η κοινωνική οικονομία και επιχειρηματικότητα και η κοινωνική συνοχή στις αστικές περιοχές και στις περιοχές της υπαίθρου. </w:t>
      </w:r>
    </w:p>
    <w:p w14:paraId="29A9D36B"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Ειδικότερα, όσον αφορά </w:t>
      </w:r>
      <w:r w:rsidRPr="00496867">
        <w:rPr>
          <w:rFonts w:cs="Calibri"/>
          <w:b/>
          <w:iCs/>
          <w:color w:val="000000"/>
          <w:lang w:val="el-GR"/>
        </w:rPr>
        <w:t>στο ΕΤΠΑ συμβ</w:t>
      </w:r>
      <w:r w:rsidR="00B50EDB">
        <w:rPr>
          <w:rFonts w:cs="Calibri"/>
          <w:b/>
          <w:iCs/>
          <w:color w:val="000000"/>
          <w:lang w:val="el-GR"/>
        </w:rPr>
        <w:t xml:space="preserve">άλει στον Θ.Σ. 9 περίπου κατά </w:t>
      </w:r>
      <w:r w:rsidR="00B50EDB" w:rsidRPr="00B50EDB">
        <w:rPr>
          <w:rFonts w:cs="Calibri"/>
          <w:b/>
          <w:iCs/>
          <w:color w:val="000000"/>
          <w:lang w:val="el-GR"/>
        </w:rPr>
        <w:t>27</w:t>
      </w:r>
      <w:r w:rsidRPr="00496867">
        <w:rPr>
          <w:rFonts w:cs="Calibri"/>
          <w:b/>
          <w:iCs/>
          <w:color w:val="000000"/>
          <w:lang w:val="el-GR"/>
        </w:rPr>
        <w:t>%</w:t>
      </w:r>
      <w:r w:rsidRPr="00496867">
        <w:rPr>
          <w:rFonts w:cs="Calibri"/>
          <w:iCs/>
          <w:color w:val="000000"/>
          <w:lang w:val="el-GR"/>
        </w:rPr>
        <w:t xml:space="preserve"> και μέσω της αξιοποίησης των πόρων του </w:t>
      </w:r>
      <w:r w:rsidRPr="00496867">
        <w:rPr>
          <w:rFonts w:cs="Calibri"/>
          <w:b/>
          <w:iCs/>
          <w:color w:val="000000"/>
          <w:lang w:val="el-GR"/>
        </w:rPr>
        <w:t>επιδιώκεται η αναβάθμιση των κοινωνικών υπηρεσιών στις υποβαθμισμένες περιοχές</w:t>
      </w:r>
      <w:r w:rsidRPr="00496867">
        <w:rPr>
          <w:rFonts w:cs="Calibri"/>
          <w:iCs/>
          <w:color w:val="000000"/>
          <w:lang w:val="el-GR"/>
        </w:rPr>
        <w:t xml:space="preserve">. Μέχρι την </w:t>
      </w:r>
      <w:r w:rsidRPr="00AD484A">
        <w:rPr>
          <w:rFonts w:cs="Calibri"/>
          <w:b/>
          <w:iCs/>
          <w:color w:val="000000"/>
          <w:lang w:val="el-GR"/>
        </w:rPr>
        <w:t>31/</w:t>
      </w:r>
      <w:r w:rsidRPr="00496867">
        <w:rPr>
          <w:rFonts w:cs="Calibri"/>
          <w:b/>
          <w:iCs/>
          <w:color w:val="000000"/>
          <w:lang w:val="el-GR"/>
        </w:rPr>
        <w:t>12/2016 δεν είχαν ενεργοποιηθεί οι πόροι του ΕΤΠΑ στον Θ.Σ. 9</w:t>
      </w:r>
      <w:r w:rsidRPr="00496867">
        <w:rPr>
          <w:rFonts w:cs="Calibri"/>
          <w:iCs/>
          <w:color w:val="000000"/>
          <w:lang w:val="el-GR"/>
        </w:rPr>
        <w:t xml:space="preserve"> με αποτέλεσμα να είναι μηδενικό το αποτύπωμα του Ταμείου στους επιδιωκόμενους στόχους.</w:t>
      </w:r>
    </w:p>
    <w:p w14:paraId="73207301" w14:textId="77777777" w:rsidR="00496867" w:rsidRPr="00496867" w:rsidRDefault="00496867" w:rsidP="00130BC4">
      <w:pPr>
        <w:ind w:left="567"/>
        <w:jc w:val="both"/>
        <w:rPr>
          <w:rFonts w:cs="Calibri"/>
          <w:iCs/>
          <w:lang w:val="el-GR"/>
        </w:rPr>
      </w:pPr>
      <w:r w:rsidRPr="00496867">
        <w:rPr>
          <w:rFonts w:cs="Calibri"/>
          <w:iCs/>
          <w:lang w:val="el-GR"/>
        </w:rPr>
        <w:t xml:space="preserve">Η </w:t>
      </w:r>
      <w:r w:rsidRPr="00496867">
        <w:rPr>
          <w:rFonts w:cs="Calibri"/>
          <w:b/>
          <w:iCs/>
          <w:color w:val="000000"/>
          <w:lang w:val="el-GR"/>
        </w:rPr>
        <w:t>συμβολή</w:t>
      </w:r>
      <w:r w:rsidRPr="00496867">
        <w:rPr>
          <w:rFonts w:cs="Calibri"/>
          <w:b/>
          <w:iCs/>
          <w:lang w:val="el-GR"/>
        </w:rPr>
        <w:t xml:space="preserve"> του ΕΚΤ</w:t>
      </w:r>
      <w:r w:rsidRPr="00496867">
        <w:rPr>
          <w:rFonts w:cs="Calibri"/>
          <w:iCs/>
          <w:lang w:val="el-GR"/>
        </w:rPr>
        <w:t xml:space="preserve"> στο συνολικό προϋπολογισμό του Θ.Σ.9 ανέρχεται σχεδόν στο 49% και εστιάζει </w:t>
      </w:r>
      <w:r w:rsidRPr="00496867">
        <w:rPr>
          <w:rFonts w:cs="Calibri"/>
          <w:iCs/>
          <w:color w:val="000000"/>
          <w:lang w:val="el-GR"/>
        </w:rPr>
        <w:t>στην</w:t>
      </w:r>
      <w:r w:rsidRPr="00496867">
        <w:rPr>
          <w:rFonts w:cs="Calibri"/>
          <w:iCs/>
          <w:lang w:val="el-GR"/>
        </w:rPr>
        <w:t xml:space="preserve"> αύξηση της απασχόλησης ατόμων των ευπαθών ομάδων του πληθυσμού, συμβάλλοντας στην επίτευξη του εθνικού στόχου για τη μείωση της φτώχειας στο πλαίσιο της στρατηγικής «Ευρώπη 2020» καθώς και στην ίδρυση κοινωνικών επιχειρήσεων.</w:t>
      </w:r>
      <w:r w:rsidRPr="00496867">
        <w:rPr>
          <w:lang w:val="el-GR"/>
        </w:rPr>
        <w:t xml:space="preserve"> </w:t>
      </w:r>
      <w:r w:rsidRPr="00496867">
        <w:rPr>
          <w:rFonts w:cs="Calibri"/>
          <w:b/>
          <w:iCs/>
          <w:lang w:val="el-GR"/>
        </w:rPr>
        <w:t>Μέχρι την 31/12/2016</w:t>
      </w:r>
      <w:r w:rsidRPr="00496867">
        <w:rPr>
          <w:rFonts w:cs="Calibri"/>
          <w:iCs/>
          <w:lang w:val="el-GR"/>
        </w:rPr>
        <w:t xml:space="preserve"> είχαν ενεργοποιηθεί πόροι συνολικού ύψους €7,2 εκατ. από το ΕΚΤ στο Θ.Σ. 9 μέσω της έκδοσης </w:t>
      </w:r>
      <w:r w:rsidRPr="00496867">
        <w:rPr>
          <w:rFonts w:cs="Calibri"/>
          <w:b/>
          <w:iCs/>
          <w:lang w:val="el-GR"/>
        </w:rPr>
        <w:t>3 προσκλήσεων</w:t>
      </w:r>
      <w:r w:rsidRPr="00496867">
        <w:rPr>
          <w:rFonts w:cs="Calibri"/>
          <w:iCs/>
          <w:lang w:val="el-GR"/>
        </w:rPr>
        <w:t xml:space="preserve"> για αντίστοιχα Σχέδια Χορηγιών για την </w:t>
      </w:r>
      <w:r w:rsidRPr="00496867">
        <w:rPr>
          <w:rFonts w:cs="Calibri"/>
          <w:b/>
          <w:iCs/>
          <w:lang w:val="el-GR"/>
        </w:rPr>
        <w:t>πρόσληψη ατόμων με χρόνιες παθήσεις, ατόμων με αναπηρία και ατόμων ηλικίας άνω των 50 ετών</w:t>
      </w:r>
      <w:r w:rsidRPr="00496867">
        <w:rPr>
          <w:rFonts w:cs="Calibri"/>
          <w:iCs/>
          <w:lang w:val="el-GR"/>
        </w:rPr>
        <w:t xml:space="preserve">, τα οποία θα υλοποιηθούν το 2017. Επίσης, με τη στήριξη εθνικών πόρων ξεκίνησε από το 2015 η υλοποίηση των έργων </w:t>
      </w:r>
      <w:r w:rsidRPr="00496867">
        <w:rPr>
          <w:rFonts w:cs="Calibri"/>
          <w:b/>
          <w:iCs/>
          <w:lang w:val="el-GR"/>
        </w:rPr>
        <w:t xml:space="preserve">«Δράσεις Σχολικής και Κοινωνικής Ένταξης – ΔΡΑΣΕ» </w:t>
      </w:r>
      <w:r w:rsidRPr="00496867">
        <w:rPr>
          <w:rFonts w:cs="Calibri"/>
          <w:iCs/>
          <w:lang w:val="el-GR"/>
        </w:rPr>
        <w:t xml:space="preserve">π/υ €14,4εκ. και </w:t>
      </w:r>
      <w:r w:rsidRPr="00496867">
        <w:rPr>
          <w:rFonts w:cs="Calibri"/>
          <w:b/>
          <w:iCs/>
          <w:lang w:val="el-GR"/>
        </w:rPr>
        <w:t>«Επέκταση της Εφαρμογής του Νέου Συστήματος Αξιολόγησης της Αναπηρίας»,</w:t>
      </w:r>
      <w:r w:rsidRPr="00496867">
        <w:rPr>
          <w:rFonts w:cs="Calibri"/>
          <w:iCs/>
          <w:lang w:val="el-GR"/>
        </w:rPr>
        <w:t xml:space="preserve"> π/υ €4,2εκ. τα οποία έχουν πραγματοποιήσει δαπάνες που θα πιστοποιηθούν το 2017, οπότε και προγραμματίζεται η τυπική ένταξη τους στο Ε.Π. «Απασχόληση, Ανθρώπινοι Πόροι και Κοινωνική Συνοχή». Ειδικά σε ότι αφορά το έργο του Νέου Συστήματος Αξιολόγησης της Αναπηρίας, το 2016 πραγματοποιήθηκαν 2.778 και το 2015 1.140 αξιολογήσεις. Τέλος, έχει εκπονηθεί μελέτη για τον καθορισμό του πλαισίου εφαρμογής της κοινωνικής οικονομίας. Συνεπώς, η συμβολή του Ταμείου στα αναμενόμενα αποτελέσματα που έχουν προσδιοριστεί μέσω του ΣΕΣ είναι για την ώρα περιορισμένη, ενώ μηδενικό είναι το αποτύπωμα του Ταμείου στους δείκτες του πλαισίου επίδοσης Ε911: Μειονεκτούντα άτομα, Ε931: Μαθητικός πληθυσμός α'βάθμιας και β΄βάθμιας εκπαίδευσης που συμμετέχει σε πρόγραμμα εκπαιδευτικής προτεραιότητας και τον ΧΔFI3.</w:t>
      </w:r>
    </w:p>
    <w:p w14:paraId="3EE8E3FA" w14:textId="77777777" w:rsidR="00496867" w:rsidRPr="00496867" w:rsidRDefault="00496867" w:rsidP="00130BC4">
      <w:pPr>
        <w:ind w:left="567"/>
        <w:jc w:val="both"/>
        <w:rPr>
          <w:rFonts w:cs="Calibri"/>
          <w:iCs/>
          <w:lang w:val="el-GR"/>
        </w:rPr>
      </w:pPr>
      <w:r w:rsidRPr="00496867">
        <w:rPr>
          <w:rFonts w:cs="Calibri"/>
          <w:iCs/>
          <w:color w:val="000000"/>
          <w:lang w:val="el-GR"/>
        </w:rPr>
        <w:t xml:space="preserve">Τέλος, </w:t>
      </w:r>
      <w:r w:rsidRPr="00496867">
        <w:rPr>
          <w:rFonts w:cs="Calibri"/>
          <w:b/>
          <w:iCs/>
          <w:color w:val="000000"/>
          <w:lang w:val="el-GR"/>
        </w:rPr>
        <w:t>μέσω του ΕΓΤΑΑ</w:t>
      </w:r>
      <w:r w:rsidRPr="00496867">
        <w:rPr>
          <w:rFonts w:cs="Calibri"/>
          <w:iCs/>
          <w:color w:val="000000"/>
          <w:lang w:val="el-GR"/>
        </w:rPr>
        <w:t xml:space="preserve"> επιδιώκεται η συμβολή στη διαφοροποίηση του εισοδήματος σε αγροτικές περιοχές, ο εμπλουτισμός του τουριστικού προϊόντος σε αυτές για τη βελτίωση της επισκεψιμότητάς τους και η ανάπτυξη δικτύων συνεργασίας στην ύπαιθρο.</w:t>
      </w:r>
      <w:r w:rsidRPr="00496867">
        <w:rPr>
          <w:rFonts w:cs="Calibri"/>
          <w:iCs/>
          <w:lang w:val="el-GR"/>
        </w:rPr>
        <w:t xml:space="preserve"> Μέχρι το τέλος του 2016, τα σχετικά Καθεστώτα δεν είχαν προκηρυχθεί.</w:t>
      </w:r>
    </w:p>
    <w:p w14:paraId="077EB5FB" w14:textId="77777777" w:rsidR="00496867" w:rsidRPr="00496867" w:rsidRDefault="00496867" w:rsidP="00E94E09">
      <w:pPr>
        <w:spacing w:after="0" w:line="240" w:lineRule="auto"/>
        <w:ind w:left="284"/>
        <w:jc w:val="both"/>
        <w:rPr>
          <w:rFonts w:cs="Calibri"/>
          <w:iCs/>
          <w:color w:val="000000"/>
          <w:lang w:val="el-GR"/>
        </w:rPr>
      </w:pPr>
    </w:p>
    <w:p w14:paraId="23180E97" w14:textId="77777777" w:rsidR="00496867" w:rsidRPr="00496867" w:rsidRDefault="00496867" w:rsidP="00130BC4">
      <w:pPr>
        <w:numPr>
          <w:ilvl w:val="0"/>
          <w:numId w:val="18"/>
        </w:numPr>
        <w:ind w:left="567" w:hanging="141"/>
        <w:jc w:val="both"/>
        <w:rPr>
          <w:rFonts w:cs="Calibri"/>
          <w:b/>
          <w:i/>
          <w:iCs/>
          <w:color w:val="000000"/>
          <w:u w:val="single"/>
          <w:lang w:val="el-GR"/>
        </w:rPr>
      </w:pPr>
      <w:r w:rsidRPr="00496867">
        <w:rPr>
          <w:rFonts w:cs="Calibri"/>
          <w:b/>
          <w:i/>
          <w:iCs/>
          <w:color w:val="000000"/>
          <w:u w:val="single"/>
          <w:lang w:val="el-GR"/>
        </w:rPr>
        <w:lastRenderedPageBreak/>
        <w:t>Επένδυση στην εκπαίδευση, την κατάρτιση και την επαγγελματική κατάρτιση για την απόκτηση δεξιοτήτων και τη δια βίου μάθηση (Θ.Σ. 10)</w:t>
      </w:r>
    </w:p>
    <w:p w14:paraId="6CF4775E" w14:textId="77777777" w:rsidR="00496867" w:rsidRPr="00496867" w:rsidRDefault="00496867" w:rsidP="00130BC4">
      <w:pPr>
        <w:ind w:left="567"/>
        <w:jc w:val="both"/>
        <w:rPr>
          <w:rFonts w:cs="Calibri"/>
          <w:lang w:val="el-GR"/>
        </w:rPr>
      </w:pPr>
      <w:r w:rsidRPr="00496867">
        <w:rPr>
          <w:rFonts w:cs="Calibri"/>
          <w:iCs/>
          <w:color w:val="000000"/>
          <w:lang w:val="el-GR"/>
        </w:rPr>
        <w:t xml:space="preserve">Ο </w:t>
      </w:r>
      <w:r w:rsidRPr="00496867">
        <w:rPr>
          <w:rFonts w:cs="Calibri"/>
          <w:b/>
          <w:iCs/>
          <w:color w:val="000000"/>
          <w:lang w:val="el-GR"/>
        </w:rPr>
        <w:t>εκσυγχρονισμός του εκπαιδευτικού συστήματος</w:t>
      </w:r>
      <w:r w:rsidRPr="00496867">
        <w:rPr>
          <w:rFonts w:cs="Calibri"/>
          <w:iCs/>
          <w:color w:val="000000"/>
          <w:lang w:val="el-GR"/>
        </w:rPr>
        <w:t xml:space="preserve"> και η διαμόρφωση ενός </w:t>
      </w:r>
      <w:r w:rsidRPr="00496867">
        <w:rPr>
          <w:rFonts w:cs="Calibri"/>
          <w:b/>
          <w:lang w:val="el-GR"/>
        </w:rPr>
        <w:t>αποτελεσματικού συστήματος Δια Βίου Μάθησης και η αναμόρφωση της Μαθητείας συνεχίζουν να αποτελούν ζητούμενο για την Κύπρο</w:t>
      </w:r>
      <w:r w:rsidRPr="00496867">
        <w:rPr>
          <w:rFonts w:cs="Calibri"/>
          <w:lang w:val="el-GR"/>
        </w:rPr>
        <w:t xml:space="preserve"> αλλά και προϋπόθεση για την προώθηση του νέου παραγωγικού μοντέλου της οικονομίας. Ταυτόχρονα η διαιώνιση της αναντιστοιχίας </w:t>
      </w:r>
      <w:r w:rsidRPr="00496867">
        <w:rPr>
          <w:rFonts w:cs="Calibri"/>
          <w:b/>
          <w:lang w:val="el-GR"/>
        </w:rPr>
        <w:t xml:space="preserve">δεξιοτήτων με τις ανάγκες της αγοράς εργασίας, δημιουργούν στρεβλώσεις στην τελευταία. </w:t>
      </w:r>
      <w:r w:rsidRPr="00496867">
        <w:rPr>
          <w:rFonts w:cs="Calibri"/>
          <w:lang w:val="el-GR"/>
        </w:rPr>
        <w:t xml:space="preserve">Τα ποσοστά απασχόλησης διαφέρουν σημαντικά ανάλογα με το επίπεδο εκπαίδευσης αντικατοπτρίζοντας τη </w:t>
      </w:r>
      <w:r w:rsidRPr="00496867">
        <w:rPr>
          <w:rFonts w:cs="Calibri"/>
          <w:b/>
          <w:lang w:val="el-GR"/>
        </w:rPr>
        <w:t>μη βέλτιστη αξιοποίηση του ανθρώπινου δυναμικού</w:t>
      </w:r>
      <w:r w:rsidRPr="00496867">
        <w:rPr>
          <w:rFonts w:cs="Calibri"/>
          <w:lang w:val="el-GR"/>
        </w:rPr>
        <w:t xml:space="preserve">, γεγονός που εμποδίζει την ανάπτυξη και την προώθηση του νέου παραγωγικού μοντέλου της οικονομίας. Σε αυτόν τον Θ.Σ, </w:t>
      </w:r>
      <w:r w:rsidRPr="00496867">
        <w:rPr>
          <w:rFonts w:cs="Calibri"/>
          <w:b/>
          <w:lang w:val="el-GR"/>
        </w:rPr>
        <w:t>μέσω των ΕΔΕΤ –και κυρίως μέσω του ΕΚΤ- επιδιώκονται στοχευμένες παρεμβάσεις που αφορούν</w:t>
      </w:r>
      <w:r w:rsidRPr="00496867">
        <w:rPr>
          <w:rFonts w:cs="Calibri"/>
          <w:lang w:val="el-GR"/>
        </w:rPr>
        <w:t xml:space="preserve"> τη βελτίωση των συστημάτων εκπαίδευσης  και κατάρτισης με την αγορά εργασίας, τη βελτίωση της ισότιμης πρόσβασης για όλους στη δια βίου μάθηση και την  αναβάθμιση και αναγνώριση των γνώσεων, δεξιοτήτων και ικανοτήτων του εργατικού δυναμικού. </w:t>
      </w:r>
    </w:p>
    <w:p w14:paraId="79943A0B" w14:textId="77777777" w:rsidR="00496867" w:rsidRPr="00496867" w:rsidRDefault="00496867" w:rsidP="00130BC4">
      <w:pPr>
        <w:ind w:left="567"/>
        <w:jc w:val="both"/>
        <w:rPr>
          <w:highlight w:val="yellow"/>
          <w:lang w:val="el-GR"/>
        </w:rPr>
      </w:pPr>
      <w:r w:rsidRPr="00496867">
        <w:rPr>
          <w:rFonts w:cs="Calibri"/>
          <w:iCs/>
          <w:lang w:val="el-GR"/>
        </w:rPr>
        <w:t xml:space="preserve">Συγκεκριμένα, </w:t>
      </w:r>
      <w:r w:rsidRPr="00496867">
        <w:rPr>
          <w:rFonts w:cs="Calibri"/>
          <w:b/>
          <w:iCs/>
          <w:lang w:val="el-GR"/>
        </w:rPr>
        <w:t>μέσω του ΕΚΤ επιδιώκεται</w:t>
      </w:r>
      <w:r w:rsidRPr="00496867">
        <w:rPr>
          <w:rFonts w:cs="Calibri"/>
          <w:iCs/>
          <w:lang w:val="el-GR"/>
        </w:rPr>
        <w:t xml:space="preserve"> η αύξηση του ποσοστού των συμμετεχόντων στην Τεχνική και Επαγγελματική Εκπαίδευση, στη μαθητεία και στην πρακτική άσκηση, στη δια βίου μάθηση, στην πιστοποίηση των επαγγελματικών προσόντων και στον αριθμό  των επαγγελμάτων που πιστοποιούνται μέσα από την επέκταση του Συστήματος Επαγγελματικών Προσόντων. Μέχρι την </w:t>
      </w:r>
      <w:r w:rsidRPr="00496867">
        <w:rPr>
          <w:rFonts w:cs="Calibri"/>
          <w:b/>
          <w:iCs/>
          <w:lang w:val="el-GR"/>
        </w:rPr>
        <w:t>31/12/2016</w:t>
      </w:r>
      <w:r w:rsidRPr="00496867">
        <w:rPr>
          <w:rFonts w:cs="Calibri"/>
          <w:iCs/>
          <w:lang w:val="el-GR"/>
        </w:rPr>
        <w:t xml:space="preserve"> δεν είχαν ενεργοποιηθεί οι πόροι του ΕΚΤ που έχουν κατανεμηθεί στο Θ.Σ.10, καθώς δεν είχε εκδοθεί καμία σχετική προκήρυξη. Ωστόσο, με την έγκριση της Διαχειριστικής Αρχής και τη στήριξη εθνικών πόρων ξεκίνησαν το προηγούμενο διάστημα </w:t>
      </w:r>
      <w:r w:rsidRPr="00496867">
        <w:rPr>
          <w:rFonts w:cs="Calibri"/>
          <w:b/>
          <w:iCs/>
          <w:lang w:val="el-GR"/>
        </w:rPr>
        <w:t>τρία (3) έργα</w:t>
      </w:r>
      <w:r w:rsidRPr="00496867">
        <w:rPr>
          <w:rFonts w:cs="Calibri"/>
          <w:iCs/>
          <w:lang w:val="el-GR"/>
        </w:rPr>
        <w:t xml:space="preserve">, των οποίων προγραμματίζεται η ένταξη στο Ε.Π. «Απασχόληση, Ανθρώπινοι Πόροι και Κοινωνική Συνοχή» εντός του 2017. </w:t>
      </w:r>
      <w:r w:rsidRPr="00496867">
        <w:rPr>
          <w:iCs/>
          <w:lang w:val="el-GR"/>
        </w:rPr>
        <w:t xml:space="preserve">Στο πλαίσιο του έργου </w:t>
      </w:r>
      <w:r w:rsidRPr="00496867">
        <w:rPr>
          <w:b/>
          <w:iCs/>
          <w:lang w:val="el-GR"/>
        </w:rPr>
        <w:t xml:space="preserve">«Θέσπιση Μηχανισμών για την Επικύρωση της Μη Τυπικής και Άτυπης Μάθησης» </w:t>
      </w:r>
      <w:r w:rsidRPr="00496867">
        <w:rPr>
          <w:iCs/>
          <w:lang w:val="el-GR"/>
        </w:rPr>
        <w:t xml:space="preserve"> πραγματοποιήθηκε </w:t>
      </w:r>
      <w:r w:rsidRPr="00496867">
        <w:rPr>
          <w:lang w:val="el-GR"/>
        </w:rPr>
        <w:t>τον Ιούνιο 2016 συνέδριο για παρουσίαση των μηχανισμών επικύρωσης σε άλλα Κ.Μ., ενώ προωθείται η διαδικασία χαρτογράφησης και εκπόνησης σχετικών σχεδίων δράσης.</w:t>
      </w:r>
      <w:r w:rsidRPr="00496867">
        <w:rPr>
          <w:rFonts w:cs="Calibri"/>
          <w:iCs/>
          <w:lang w:val="el-GR"/>
        </w:rPr>
        <w:t xml:space="preserve"> </w:t>
      </w:r>
      <w:r w:rsidRPr="00496867">
        <w:rPr>
          <w:lang w:val="el-GR"/>
        </w:rPr>
        <w:t xml:space="preserve">Στο πλαίσιο του </w:t>
      </w:r>
      <w:r w:rsidRPr="00496867">
        <w:rPr>
          <w:rFonts w:cs="Calibri"/>
          <w:iCs/>
          <w:lang w:val="el-GR"/>
        </w:rPr>
        <w:t xml:space="preserve">έργου </w:t>
      </w:r>
      <w:r w:rsidRPr="00496867">
        <w:rPr>
          <w:b/>
          <w:lang w:val="el-GR"/>
        </w:rPr>
        <w:t xml:space="preserve">«Επέκταση και Λειτουργία του Συστήματος Επαγγελματικών Προσόντων» </w:t>
      </w:r>
      <w:r w:rsidRPr="00496867">
        <w:rPr>
          <w:lang w:val="el-GR"/>
        </w:rPr>
        <w:t xml:space="preserve">υπογράφηκαν συμφωνίες συνεργασίας με εξεταστικά κέντρα, εξεταστές και επαληθευτές, έτσι ώστε να είναι δυνατή η εξέταση για πιστοποίηση υποψηφίων. Τέλος, </w:t>
      </w:r>
      <w:r w:rsidRPr="00496867">
        <w:rPr>
          <w:rFonts w:cs="Calibri"/>
          <w:iCs/>
          <w:lang w:val="el-GR"/>
        </w:rPr>
        <w:t xml:space="preserve">στο πλαίσιο του έργου </w:t>
      </w:r>
      <w:r w:rsidRPr="00496867">
        <w:rPr>
          <w:b/>
          <w:lang w:val="el-GR"/>
        </w:rPr>
        <w:t>«Ανάπτυξη της Τεχνικής και Επαγγελματικής Εκπαίδευσης στην Κύπρο»</w:t>
      </w:r>
      <w:r w:rsidRPr="00496867">
        <w:rPr>
          <w:rFonts w:cs="Calibri"/>
          <w:bCs/>
          <w:lang w:val="el-GR"/>
        </w:rPr>
        <w:t xml:space="preserve">, άρχισε </w:t>
      </w:r>
      <w:r w:rsidRPr="00496867">
        <w:rPr>
          <w:rFonts w:cs="Calibri"/>
          <w:iCs/>
          <w:lang w:val="el-GR"/>
        </w:rPr>
        <w:t xml:space="preserve">η διδασκαλία μαθημάτων στα Μεταλυκειακά Ινστιτούτα Επαγγελματικής Εκπαίδευσης και Κατάρτισης (ΜΙΕΕΚ), καθώς και στην Προπαρασκευαστική Μαθητεία. Επίσης, προωθείται η δημιουργία Εργαστηρίου Τυροκομίας των ΜΙΕΕΚ και παράλληλα η συγγραφή Αναλυτικών Προγραμμάτων με βάση το Ευρωπαϊκό Σύστημα Πιστωτικών Μονάδων (ECVET) για τις ανάγκες των Τεχνικών Σχολών. Η συμβολή του ΕΚΤ στα αναμενόμενα αποτελέσματα του Θ.Σ. είναι τυπικά μηδενική, ελλείψει ενταγμένων έργων, το ίδιο και στο πλαίσιο επίδοσης του Ε.Π. «Απασχόληση, Ανθρώπινοι Πόροι και Κοινωνική Συνοχή» και συγκεκριμένα στους δείκτες του πλαισίου επίδοσης E1031: Αριθμός νέων πλαισίων επαγγελματικών προσόντων, Ε141: Αριθμός συμμετεχόντων ανώτερης δευτεροβάθμιας (ISCED 3) ή μεταδευτεροβάθμιας εκπαίδευσης (ISCED 4) και τον ΧΔFI4, αν και στα υπό ένταξη έργα έχουν ήδη πραγματοποιηθεί δαπάνες ύψους περίπου €815.000 με την στήριξη του Κρατικού Προϋπολογισμού, οι οποίες θα καταστούν επιλέξιμες με την ένταξη των έργων στο Πρόγραμμα.  </w:t>
      </w:r>
    </w:p>
    <w:p w14:paraId="4683C396" w14:textId="77777777" w:rsidR="00496867" w:rsidRPr="0002568F" w:rsidRDefault="00496867" w:rsidP="00130BC4">
      <w:pPr>
        <w:ind w:left="567"/>
        <w:jc w:val="both"/>
        <w:rPr>
          <w:rFonts w:cs="Calibri"/>
          <w:iCs/>
          <w:lang w:val="el-GR"/>
        </w:rPr>
      </w:pPr>
      <w:r w:rsidRPr="00496867">
        <w:rPr>
          <w:rFonts w:cs="Calibri"/>
          <w:iCs/>
          <w:lang w:val="el-GR"/>
        </w:rPr>
        <w:lastRenderedPageBreak/>
        <w:t xml:space="preserve">Τέλος, </w:t>
      </w:r>
      <w:r w:rsidRPr="00496867">
        <w:rPr>
          <w:rFonts w:cs="Calibri"/>
          <w:b/>
          <w:iCs/>
          <w:lang w:val="el-GR"/>
        </w:rPr>
        <w:t>μέσω του ΕΓΤΑΑ</w:t>
      </w:r>
      <w:r w:rsidRPr="00496867">
        <w:rPr>
          <w:rFonts w:cs="Calibri"/>
          <w:iCs/>
          <w:lang w:val="el-GR"/>
        </w:rPr>
        <w:t xml:space="preserve"> επιδιώκεται η αύξηση της συμμετοχής στη δια βίου μάθηση γα βελτίωση γνώσεων και δεξιοτήτων του εργατικού δυναμικού στο γεωργικό τομέα και των κατοίκων των αγροτικών περιοχών.</w:t>
      </w:r>
      <w:r w:rsidRPr="00496867">
        <w:rPr>
          <w:lang w:val="el-GR"/>
        </w:rPr>
        <w:t xml:space="preserve"> </w:t>
      </w:r>
      <w:r w:rsidRPr="00496867">
        <w:rPr>
          <w:rFonts w:cs="Calibri"/>
          <w:iCs/>
          <w:lang w:val="el-GR"/>
        </w:rPr>
        <w:t>Εντός του 2016 προκηρύχθηκαν δύο από τα τρία Καθεστώτα του Μέτρου 1, συνολικού ύψους 1.650.000€ (το 82,50% των πόρων του Μέτρου). Ειδικότερα, εγκρίθηκαν 6 αιτήσεις με ποσό δέσμευσης 323.000 € περίπου για δράσεις που αφορούσαν εκπαιδεύσεις 384 γεωργών στα αντικείμενα των επιτραπέζιων σταφυλιών, της βιολογικής γεωργίας, των δημητριακών, της οινολογίας και αμπελουργίας.</w:t>
      </w:r>
      <w:r w:rsidR="0002568F" w:rsidRPr="0002568F">
        <w:rPr>
          <w:rFonts w:cs="Calibri"/>
          <w:iCs/>
          <w:lang w:val="el-GR"/>
        </w:rPr>
        <w:t xml:space="preserve"> Σημειώνεται επίσης η αποστολή σε 33.000 γεωργούς του ενημερωτικού οδηγού για την τήρηση των υποχρεώσεων που αφορούν το περιβάλλον και τις ορθές γεωργικές πρακτικές (υποχρεώσεις της πολλαπλής συμμόρφωσης).</w:t>
      </w:r>
    </w:p>
    <w:p w14:paraId="47F33A9E" w14:textId="77777777" w:rsidR="00496867" w:rsidRPr="00496867" w:rsidRDefault="00496867" w:rsidP="00E94E09">
      <w:pPr>
        <w:spacing w:after="0" w:line="240" w:lineRule="auto"/>
        <w:ind w:left="284"/>
        <w:jc w:val="both"/>
        <w:rPr>
          <w:rFonts w:cs="Calibri"/>
          <w:iCs/>
          <w:color w:val="000000"/>
          <w:lang w:val="el-GR"/>
        </w:rPr>
      </w:pPr>
    </w:p>
    <w:p w14:paraId="591C932B" w14:textId="77777777" w:rsidR="00496867" w:rsidRPr="00496867" w:rsidRDefault="00496867" w:rsidP="00130BC4">
      <w:pPr>
        <w:numPr>
          <w:ilvl w:val="0"/>
          <w:numId w:val="14"/>
        </w:numPr>
        <w:ind w:left="284" w:hanging="284"/>
        <w:jc w:val="both"/>
        <w:rPr>
          <w:rFonts w:cs="Calibri"/>
          <w:b/>
          <w:iCs/>
          <w:color w:val="000000"/>
          <w:lang w:val="el-GR"/>
        </w:rPr>
      </w:pPr>
      <w:r w:rsidRPr="00496867">
        <w:rPr>
          <w:rFonts w:cs="Calibri"/>
          <w:b/>
          <w:i/>
          <w:iCs/>
          <w:color w:val="000000"/>
          <w:u w:val="single"/>
          <w:lang w:val="el-GR"/>
        </w:rPr>
        <w:t>Προστασία και Αποδοτική Χρήση των</w:t>
      </w:r>
      <w:r w:rsidRPr="00496867">
        <w:rPr>
          <w:rFonts w:cs="Calibri"/>
          <w:b/>
          <w:iCs/>
          <w:color w:val="000000"/>
          <w:u w:val="single"/>
          <w:lang w:val="el-GR"/>
        </w:rPr>
        <w:t xml:space="preserve"> Πόρων (Θ.Σ. 4, 5 &amp; 6)</w:t>
      </w:r>
    </w:p>
    <w:p w14:paraId="3846B54F" w14:textId="77777777" w:rsidR="00496867" w:rsidRPr="00496867" w:rsidRDefault="00496867" w:rsidP="00496867">
      <w:pPr>
        <w:ind w:left="284"/>
        <w:jc w:val="both"/>
        <w:rPr>
          <w:rFonts w:cs="Calibri"/>
          <w:iCs/>
          <w:color w:val="000000"/>
          <w:lang w:val="el-GR"/>
        </w:rPr>
      </w:pPr>
      <w:r w:rsidRPr="00496867">
        <w:rPr>
          <w:rFonts w:cs="Calibri"/>
          <w:iCs/>
          <w:color w:val="000000"/>
          <w:lang w:val="el-GR"/>
        </w:rPr>
        <w:t xml:space="preserve">Η </w:t>
      </w:r>
      <w:r w:rsidRPr="00496867">
        <w:rPr>
          <w:rFonts w:cs="Calibri"/>
          <w:b/>
          <w:iCs/>
          <w:color w:val="000000"/>
          <w:lang w:val="el-GR"/>
        </w:rPr>
        <w:t>προσπάθεια μετάβασης της Κυπριακής οικονομίας σε ένα βιώσιμο μοντέλο οικονομικής ανάπτυξης εξυπηρετείται</w:t>
      </w:r>
      <w:r w:rsidRPr="00496867">
        <w:rPr>
          <w:rFonts w:cs="Calibri"/>
          <w:iCs/>
          <w:color w:val="000000"/>
          <w:lang w:val="el-GR"/>
        </w:rPr>
        <w:t xml:space="preserve"> από την προώθηση παρεμβάσεων που ως στόχο έχουν την ορθολογική διαχείριση των φυσικών πόρων, την προσαρμογή στην κλιματική αλλαγή και τη μετάβαση σε μία οικονομία χαμηλών εκπομπών άνθρακα. Παράλληλα επιχειρείται η αξιοποίηση των δυνατοτήτων που παρέχει η πράσινη οικονομία και η γαλάζια οικονομία για την προώθηση της ανάπτυξης της οικονομίας με τρόπο που ενσωματώνει την περιβαλλοντική προστασία. Η εξυπηρέτηση αυτών των στόχων </w:t>
      </w:r>
      <w:r w:rsidRPr="00496867">
        <w:rPr>
          <w:rFonts w:cs="Calibri"/>
          <w:b/>
          <w:iCs/>
          <w:color w:val="000000"/>
          <w:lang w:val="el-GR"/>
        </w:rPr>
        <w:t>κατέχει κεντρική θέση στη ΣΕΣ</w:t>
      </w:r>
      <w:r w:rsidRPr="00496867">
        <w:rPr>
          <w:rFonts w:cs="Calibri"/>
          <w:iCs/>
          <w:color w:val="000000"/>
          <w:lang w:val="el-GR"/>
        </w:rPr>
        <w:t xml:space="preserve">, καθώς σε αυτούς </w:t>
      </w:r>
      <w:r w:rsidRPr="00496867">
        <w:rPr>
          <w:rFonts w:cs="Calibri"/>
          <w:b/>
          <w:iCs/>
          <w:color w:val="000000"/>
          <w:lang w:val="el-GR"/>
        </w:rPr>
        <w:t>αφιερώνεται παραπάνω από το 1/3 των πόρων της μέσω των ΕΔΕΤ, και ιδιαίτερα το 62,70% των πόρων του Ταμείου Συνοχής</w:t>
      </w:r>
      <w:r w:rsidRPr="00496867">
        <w:rPr>
          <w:rFonts w:cs="Calibri"/>
          <w:iCs/>
          <w:color w:val="000000"/>
          <w:lang w:val="el-GR"/>
        </w:rPr>
        <w:t xml:space="preserve">. </w:t>
      </w:r>
      <w:r w:rsidRPr="00496867">
        <w:rPr>
          <w:rFonts w:cs="Calibri"/>
          <w:lang w:val="el-GR"/>
        </w:rPr>
        <w:t xml:space="preserve">Παρά τις υψηλές </w:t>
      </w:r>
      <w:r w:rsidRPr="00496867">
        <w:rPr>
          <w:rFonts w:cs="Calibri"/>
          <w:b/>
          <w:lang w:val="el-GR"/>
        </w:rPr>
        <w:t>περιβαλλοντικές επενδύσεις</w:t>
      </w:r>
      <w:r w:rsidRPr="00496867">
        <w:rPr>
          <w:rFonts w:cs="Calibri"/>
          <w:lang w:val="el-GR"/>
        </w:rPr>
        <w:t xml:space="preserve"> σε ορισμένους τομείς, η </w:t>
      </w:r>
      <w:r w:rsidRPr="00496867">
        <w:rPr>
          <w:rFonts w:cs="Calibri"/>
          <w:b/>
          <w:lang w:val="el-GR"/>
        </w:rPr>
        <w:t>συμμόρφωση με την περιβαλλοντική νομοθεσία είναι ανεπαρκής και η Κύπρος υπολείπεται ακόμα του πλαισίου πολιτικών ώστε να καταστεί πιο αποτελεσματική ως προς τη διαχείριση πόρων και ενέργειας</w:t>
      </w:r>
      <w:r w:rsidRPr="00496867">
        <w:rPr>
          <w:rFonts w:cs="Calibri"/>
          <w:lang w:val="el-GR"/>
        </w:rPr>
        <w:t>.</w:t>
      </w:r>
    </w:p>
    <w:p w14:paraId="0BA665A1" w14:textId="77777777" w:rsidR="00496867" w:rsidRPr="00496867" w:rsidRDefault="00496867" w:rsidP="00130BC4">
      <w:pPr>
        <w:numPr>
          <w:ilvl w:val="0"/>
          <w:numId w:val="19"/>
        </w:numPr>
        <w:ind w:left="567" w:hanging="141"/>
        <w:jc w:val="both"/>
        <w:rPr>
          <w:rFonts w:cs="Calibri"/>
          <w:b/>
          <w:i/>
          <w:iCs/>
          <w:color w:val="000000"/>
          <w:u w:val="single"/>
          <w:lang w:val="el-GR"/>
        </w:rPr>
      </w:pPr>
      <w:r w:rsidRPr="00496867">
        <w:rPr>
          <w:rFonts w:cs="Calibri"/>
          <w:b/>
          <w:i/>
          <w:iCs/>
          <w:color w:val="000000"/>
          <w:u w:val="single"/>
          <w:lang w:val="el-GR"/>
        </w:rPr>
        <w:t>Υποστήριξη της Μετάβασης σε μία Οικονομία Χαμηλών Εκπομπών Διοξειδίου του Άνθρακα σε όλους του τομείς (Θ.Σ. 4)</w:t>
      </w:r>
    </w:p>
    <w:p w14:paraId="0995815F"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Ο </w:t>
      </w:r>
      <w:r w:rsidRPr="00496867">
        <w:rPr>
          <w:rFonts w:cs="Calibri"/>
          <w:b/>
          <w:iCs/>
          <w:color w:val="000000"/>
          <w:lang w:val="el-GR"/>
        </w:rPr>
        <w:t xml:space="preserve">Θ.Σ. 4 εστιάζει </w:t>
      </w:r>
      <w:r w:rsidRPr="00496867">
        <w:rPr>
          <w:rFonts w:cs="Calibri"/>
          <w:iCs/>
          <w:color w:val="000000"/>
          <w:lang w:val="el-GR"/>
        </w:rPr>
        <w:t xml:space="preserve">στον </w:t>
      </w:r>
      <w:r w:rsidRPr="00496867">
        <w:rPr>
          <w:rFonts w:cs="Calibri"/>
          <w:b/>
          <w:iCs/>
          <w:color w:val="000000"/>
          <w:lang w:val="el-GR"/>
        </w:rPr>
        <w:t>τομέα της ενέργειας</w:t>
      </w:r>
      <w:r w:rsidRPr="00496867">
        <w:rPr>
          <w:rFonts w:cs="Calibri"/>
          <w:iCs/>
          <w:color w:val="000000"/>
          <w:lang w:val="el-GR"/>
        </w:rPr>
        <w:t xml:space="preserve"> και στοχεύει στην </w:t>
      </w:r>
      <w:r w:rsidRPr="00496867">
        <w:rPr>
          <w:rFonts w:cs="Calibri"/>
          <w:b/>
          <w:iCs/>
          <w:color w:val="000000"/>
          <w:lang w:val="el-GR"/>
        </w:rPr>
        <w:t>αύξηση της ενεργειακής απόδοσης</w:t>
      </w:r>
      <w:r w:rsidRPr="00496867">
        <w:rPr>
          <w:rFonts w:cs="Calibri"/>
          <w:iCs/>
          <w:color w:val="000000"/>
          <w:lang w:val="el-GR"/>
        </w:rPr>
        <w:t xml:space="preserve"> μέσω της </w:t>
      </w:r>
      <w:r w:rsidRPr="00496867">
        <w:rPr>
          <w:rFonts w:cs="Calibri"/>
          <w:b/>
          <w:iCs/>
          <w:color w:val="000000"/>
          <w:lang w:val="el-GR"/>
        </w:rPr>
        <w:t>διαφοροποίησης του ενεργειακού μίγματος</w:t>
      </w:r>
      <w:r w:rsidRPr="00496867">
        <w:rPr>
          <w:rFonts w:cs="Calibri"/>
          <w:iCs/>
          <w:color w:val="000000"/>
          <w:lang w:val="el-GR"/>
        </w:rPr>
        <w:t xml:space="preserve"> και της</w:t>
      </w:r>
      <w:r w:rsidRPr="00496867">
        <w:rPr>
          <w:rFonts w:cs="Calibri"/>
          <w:b/>
          <w:iCs/>
          <w:color w:val="000000"/>
          <w:lang w:val="el-GR"/>
        </w:rPr>
        <w:t xml:space="preserve"> ικανοποίησης των ενεργειακών αναγκών της χώρας</w:t>
      </w:r>
      <w:r w:rsidRPr="00496867">
        <w:rPr>
          <w:rFonts w:cs="Calibri"/>
          <w:iCs/>
          <w:color w:val="000000"/>
          <w:lang w:val="el-GR"/>
        </w:rPr>
        <w:t xml:space="preserve"> με όσο το δυνατόν </w:t>
      </w:r>
      <w:r w:rsidRPr="00496867">
        <w:rPr>
          <w:rFonts w:cs="Calibri"/>
          <w:b/>
          <w:iCs/>
          <w:color w:val="000000"/>
          <w:lang w:val="el-GR"/>
        </w:rPr>
        <w:t>μικρότερη επιβάρυνση στην οικονομία και το περιβάλλον</w:t>
      </w:r>
      <w:r w:rsidRPr="00496867">
        <w:rPr>
          <w:rFonts w:cs="Calibri"/>
          <w:iCs/>
          <w:color w:val="000000"/>
          <w:lang w:val="el-GR"/>
        </w:rPr>
        <w:t xml:space="preserve">. Μέσω των </w:t>
      </w:r>
      <w:r w:rsidRPr="00496867">
        <w:rPr>
          <w:rFonts w:cs="Calibri"/>
          <w:b/>
          <w:iCs/>
          <w:color w:val="000000"/>
          <w:lang w:val="el-GR"/>
        </w:rPr>
        <w:t>ΕΔΕΤ</w:t>
      </w:r>
      <w:r w:rsidRPr="00496867">
        <w:rPr>
          <w:rFonts w:cs="Calibri"/>
          <w:iCs/>
          <w:color w:val="000000"/>
          <w:lang w:val="el-GR"/>
        </w:rPr>
        <w:t xml:space="preserve"> επιδιώκονται </w:t>
      </w:r>
      <w:r w:rsidRPr="00496867">
        <w:rPr>
          <w:rFonts w:cs="Calibri"/>
          <w:b/>
          <w:iCs/>
          <w:color w:val="000000"/>
          <w:lang w:val="el-GR"/>
        </w:rPr>
        <w:t xml:space="preserve">στοχευμένες παρεμβάσεις που αφορούν </w:t>
      </w:r>
      <w:r w:rsidRPr="00496867">
        <w:rPr>
          <w:rFonts w:cs="Calibri"/>
          <w:iCs/>
          <w:color w:val="000000"/>
          <w:lang w:val="el-GR"/>
        </w:rPr>
        <w:t>στη βελτίωση της ενεργειακή απόδοσης και στην έξυπνη διαχείριση της ενέργειας, στην επέκταση της χρήσης ανανεώσιμων πηγών ενέργειας και στην προώθηση ενεργειών μείωσης των εκπομπών αερίων από τη γεωργία.</w:t>
      </w:r>
    </w:p>
    <w:p w14:paraId="4790CF9C"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Ειδικότερα, μέσω του </w:t>
      </w:r>
      <w:r w:rsidRPr="00496867">
        <w:rPr>
          <w:rFonts w:cs="Calibri"/>
          <w:b/>
          <w:iCs/>
          <w:color w:val="000000"/>
          <w:lang w:val="el-GR"/>
        </w:rPr>
        <w:t>ΕΤΠΑ και του Ταμείου Συνοχής</w:t>
      </w:r>
      <w:r w:rsidRPr="00496867">
        <w:rPr>
          <w:rFonts w:cs="Calibri"/>
          <w:iCs/>
          <w:color w:val="000000"/>
          <w:lang w:val="el-GR"/>
        </w:rPr>
        <w:t xml:space="preserve"> επιδιώκεται η εξοικονόμηση ενέργειας σε επιχειρήσεις, κατοικίες και δημόσια κτίρια στην πρωτογενή κατανάλωση ενέργειας και στην τελική χρήση, η αύξηση της διείσδυσης των ΑΠΕ στην τελική ακαθάριστη κατανάλωση της χώρας και η μείωση των εκπομπών αερίων του θερμοκηπίου από τον τομέα της ενέργειας.</w:t>
      </w:r>
    </w:p>
    <w:p w14:paraId="1979730F"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Μέχρι την </w:t>
      </w:r>
      <w:r w:rsidRPr="00496867">
        <w:rPr>
          <w:rFonts w:cs="Calibri"/>
          <w:b/>
          <w:iCs/>
          <w:color w:val="000000"/>
          <w:lang w:val="el-GR"/>
        </w:rPr>
        <w:t>31/12/2016</w:t>
      </w:r>
      <w:r w:rsidRPr="00496867">
        <w:rPr>
          <w:rFonts w:cs="Calibri"/>
          <w:iCs/>
          <w:color w:val="000000"/>
          <w:lang w:val="el-GR"/>
        </w:rPr>
        <w:t xml:space="preserve"> </w:t>
      </w:r>
      <w:r w:rsidRPr="00496867">
        <w:rPr>
          <w:rFonts w:cs="Calibri"/>
          <w:b/>
          <w:iCs/>
          <w:color w:val="000000"/>
          <w:lang w:val="el-GR"/>
        </w:rPr>
        <w:t xml:space="preserve">είχε ενεργοποιηθεί το </w:t>
      </w:r>
      <w:r w:rsidR="00B448DC" w:rsidRPr="00B448DC">
        <w:rPr>
          <w:rFonts w:cs="Calibri"/>
          <w:b/>
          <w:iCs/>
          <w:color w:val="000000"/>
          <w:lang w:val="el-GR"/>
        </w:rPr>
        <w:t>56,88</w:t>
      </w:r>
      <w:r w:rsidRPr="00496867">
        <w:rPr>
          <w:rFonts w:cs="Calibri"/>
          <w:b/>
          <w:iCs/>
          <w:color w:val="000000"/>
          <w:lang w:val="el-GR"/>
        </w:rPr>
        <w:t>% (€8,7 εκ.) των πόρων του ΕΤΠΑ στο Θ.Σ. 4</w:t>
      </w:r>
      <w:r w:rsidRPr="00496867">
        <w:rPr>
          <w:rFonts w:cs="Calibri"/>
          <w:iCs/>
          <w:color w:val="000000"/>
          <w:lang w:val="el-GR"/>
        </w:rPr>
        <w:t xml:space="preserve"> μέσω της προώθησης δράσης για την </w:t>
      </w:r>
      <w:r w:rsidRPr="00496867">
        <w:rPr>
          <w:rFonts w:cs="Calibri"/>
          <w:b/>
          <w:iCs/>
          <w:color w:val="000000"/>
          <w:lang w:val="el-GR"/>
        </w:rPr>
        <w:t>εξοικονόμηση ενέργειας στις επιχειρήσεις</w:t>
      </w:r>
      <w:r w:rsidRPr="00496867">
        <w:rPr>
          <w:rFonts w:cs="Calibri"/>
          <w:iCs/>
          <w:color w:val="000000"/>
          <w:lang w:val="el-GR"/>
        </w:rPr>
        <w:t>. Στο πλαίσιο αυτής  συμβασιοποιήθηκαν</w:t>
      </w:r>
      <w:r w:rsidRPr="00496867">
        <w:rPr>
          <w:rFonts w:cs="Calibri"/>
          <w:b/>
          <w:iCs/>
          <w:color w:val="000000"/>
          <w:lang w:val="el-GR"/>
        </w:rPr>
        <w:t xml:space="preserve"> 66</w:t>
      </w:r>
      <w:r w:rsidRPr="00496867">
        <w:rPr>
          <w:rFonts w:cs="Calibri"/>
          <w:iCs/>
          <w:color w:val="000000"/>
          <w:lang w:val="el-GR"/>
        </w:rPr>
        <w:t xml:space="preserve"> </w:t>
      </w:r>
      <w:r w:rsidRPr="00496867">
        <w:rPr>
          <w:rFonts w:cs="Calibri"/>
          <w:b/>
          <w:iCs/>
          <w:color w:val="000000"/>
          <w:lang w:val="el-GR"/>
        </w:rPr>
        <w:t>έργα επιλέξιμης δημόσιας δαπάνης ύψους €3,96 εκ.</w:t>
      </w:r>
      <w:r w:rsidRPr="00496867">
        <w:rPr>
          <w:rFonts w:cs="Calibri"/>
          <w:iCs/>
          <w:color w:val="000000"/>
          <w:lang w:val="el-GR"/>
        </w:rPr>
        <w:t xml:space="preserve"> με τις πραγματοποιημένες δαπάνες να ανέρχονται σε €0,71 εκ. Η δράση δεν συνδέεται με το πλαίσιο </w:t>
      </w:r>
      <w:r w:rsidRPr="00496867">
        <w:rPr>
          <w:rFonts w:cs="Calibri"/>
          <w:iCs/>
          <w:color w:val="000000"/>
          <w:lang w:val="el-GR"/>
        </w:rPr>
        <w:lastRenderedPageBreak/>
        <w:t>επίδοσης, αλλά με τον Δείκτη Εκροών CO34 που αφορά την ετήσια μείωση των εκπομπών των αερίων θερμοκηπίου και τον Δείκτη Αποτελέσματος 4β.1 που αφορά την εξοικονόμηση πρωτογενούς ενέργειας από τις επιχειρήσεις. Ωστόσο, δεν υπάρχουν διαθέσιμα στοιχεία για την εκτίμηση της πορείας ωρίμανσης των σχετικών παρεμβάσεων και, επομένως, δεν είναι δυνατή η εκτίμηση του βαθμού συμβολή τους στους προαναφερόμενους Δείκτες.</w:t>
      </w:r>
    </w:p>
    <w:p w14:paraId="633FC2B1"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Αντίστοιχα, στο </w:t>
      </w:r>
      <w:r w:rsidRPr="00496867">
        <w:rPr>
          <w:rFonts w:cs="Calibri"/>
          <w:b/>
          <w:iCs/>
          <w:color w:val="000000"/>
          <w:lang w:val="el-GR"/>
        </w:rPr>
        <w:t xml:space="preserve">Ταμείο Συνοχής είχε ενεργοποιηθεί  το </w:t>
      </w:r>
      <w:r w:rsidR="00B448DC" w:rsidRPr="00B448DC">
        <w:rPr>
          <w:rFonts w:cs="Calibri"/>
          <w:b/>
          <w:iCs/>
          <w:color w:val="000000"/>
          <w:lang w:val="el-GR"/>
        </w:rPr>
        <w:t>21,25</w:t>
      </w:r>
      <w:r w:rsidRPr="00496867">
        <w:rPr>
          <w:rFonts w:cs="Calibri"/>
          <w:b/>
          <w:iCs/>
          <w:color w:val="000000"/>
          <w:lang w:val="el-GR"/>
        </w:rPr>
        <w:t>% των πόρων του στο Θ.Σ. 4</w:t>
      </w:r>
      <w:r w:rsidRPr="00496867">
        <w:rPr>
          <w:rFonts w:cs="Calibri"/>
          <w:iCs/>
          <w:color w:val="000000"/>
          <w:lang w:val="el-GR"/>
        </w:rPr>
        <w:t xml:space="preserve"> μέσω της προώθησης δράσης για την </w:t>
      </w:r>
      <w:r w:rsidRPr="00496867">
        <w:rPr>
          <w:rFonts w:cs="Calibri"/>
          <w:b/>
          <w:iCs/>
          <w:color w:val="000000"/>
          <w:lang w:val="el-GR"/>
        </w:rPr>
        <w:t>εξοικονόμηση ενέργειας στις κατοικίες</w:t>
      </w:r>
      <w:r w:rsidR="00B448DC" w:rsidRPr="00B448DC">
        <w:rPr>
          <w:rFonts w:cs="Calibri"/>
          <w:b/>
          <w:iCs/>
          <w:color w:val="000000"/>
          <w:lang w:val="el-GR"/>
        </w:rPr>
        <w:t xml:space="preserve"> (</w:t>
      </w:r>
      <w:r w:rsidR="00B448DC">
        <w:rPr>
          <w:rFonts w:cs="Calibri"/>
          <w:b/>
          <w:iCs/>
          <w:color w:val="000000"/>
          <w:lang w:val="el-GR"/>
        </w:rPr>
        <w:t>Π/Υ €8 εκ.)</w:t>
      </w:r>
      <w:r w:rsidRPr="00496867">
        <w:rPr>
          <w:rFonts w:cs="Calibri"/>
          <w:iCs/>
          <w:color w:val="000000"/>
          <w:lang w:val="el-GR"/>
        </w:rPr>
        <w:t xml:space="preserve">. Αν και μέχρι την 31/12/2016 το έργο δεν είχε ενταχθεί στο Ε.Π. «Ανταγωνιστικότητα και Αειφόρος Ανάπτυξη», είχαν υπογραφεί </w:t>
      </w:r>
      <w:r w:rsidRPr="00496867">
        <w:rPr>
          <w:rFonts w:cs="Calibri"/>
          <w:b/>
          <w:iCs/>
          <w:color w:val="000000"/>
          <w:lang w:val="el-GR"/>
        </w:rPr>
        <w:t>νομικές δεσμεύσεις ύψους €5,6 εκ.  για 574 κατοικίες</w:t>
      </w:r>
      <w:r w:rsidRPr="00496867">
        <w:rPr>
          <w:rFonts w:cs="Calibri"/>
          <w:iCs/>
          <w:color w:val="000000"/>
          <w:lang w:val="el-GR"/>
        </w:rPr>
        <w:t xml:space="preserve">. Ως εκ τούτου, οι ήδη πραγματοποιηθείσες </w:t>
      </w:r>
      <w:r w:rsidRPr="00496867">
        <w:rPr>
          <w:rFonts w:cs="Calibri"/>
          <w:b/>
          <w:iCs/>
          <w:color w:val="000000"/>
          <w:lang w:val="el-GR"/>
        </w:rPr>
        <w:t>δημόσιες δαπάνες ύψους €1,70 εκ.</w:t>
      </w:r>
      <w:r w:rsidRPr="00496867">
        <w:rPr>
          <w:rFonts w:cs="Calibri"/>
          <w:iCs/>
          <w:color w:val="000000"/>
          <w:lang w:val="el-GR"/>
        </w:rPr>
        <w:t xml:space="preserve"> δεν έχουν καταγραφεί στο Χρηματοοικονομικό Δείκτη 3 του πλαισίου επίδοσης, ενώ η έλλειψη διαθέσιμων στοιχείων καθιστά αδύνατη την εκτίμηση της συμβολής των παρεμβάσεων στους Δείκτες Εκροών </w:t>
      </w:r>
      <w:r w:rsidRPr="00496867">
        <w:rPr>
          <w:rFonts w:cs="Calibri"/>
          <w:iCs/>
          <w:color w:val="000000"/>
        </w:rPr>
        <w:t>CO</w:t>
      </w:r>
      <w:r w:rsidRPr="00496867">
        <w:rPr>
          <w:rFonts w:cs="Calibri"/>
          <w:iCs/>
          <w:color w:val="000000"/>
          <w:lang w:val="el-GR"/>
        </w:rPr>
        <w:t xml:space="preserve">31-Αριθμός Νοικοκυριών με καλύτερη κατηγορία ενεργειακής απόδοσης και </w:t>
      </w:r>
      <w:r w:rsidRPr="00496867">
        <w:rPr>
          <w:rFonts w:cs="Calibri"/>
          <w:iCs/>
          <w:color w:val="000000"/>
        </w:rPr>
        <w:t>CO</w:t>
      </w:r>
      <w:r w:rsidRPr="00496867">
        <w:rPr>
          <w:rFonts w:cs="Calibri"/>
          <w:iCs/>
          <w:color w:val="000000"/>
          <w:lang w:val="el-GR"/>
        </w:rPr>
        <w:t>34-Εκτιμώμενη ετήσια μείωση των εκπομπών των αερίων θερμοκηπίου καθώς και στο Δείκτη  Αποτελέσματος 4</w:t>
      </w:r>
      <w:r w:rsidRPr="00496867">
        <w:rPr>
          <w:rFonts w:cs="Calibri"/>
          <w:iCs/>
          <w:color w:val="000000"/>
        </w:rPr>
        <w:t>iii</w:t>
      </w:r>
      <w:r w:rsidRPr="00496867">
        <w:rPr>
          <w:rFonts w:cs="Calibri"/>
          <w:iCs/>
          <w:color w:val="000000"/>
          <w:lang w:val="el-GR"/>
        </w:rPr>
        <w:t xml:space="preserve">.2-Εξοικονόμηση πρωτογενούς ενέργειας σε κατοικίες. Επίσης, μέχρι την ολοκλήρωση του 2016 δεν υπήρξαν παρεμβάσεις εξοικονόμησης ενέργειας σε δημόσια κτίρια με αποτέλεσμα να είναι μηδενική η συνεισφορά του Ταμείου στον δείκτη εκροών </w:t>
      </w:r>
      <w:r w:rsidRPr="00496867">
        <w:rPr>
          <w:rFonts w:cs="Calibri"/>
          <w:iCs/>
          <w:color w:val="000000"/>
        </w:rPr>
        <w:t>CO</w:t>
      </w:r>
      <w:r w:rsidRPr="00496867">
        <w:rPr>
          <w:rFonts w:cs="Calibri"/>
          <w:iCs/>
          <w:color w:val="000000"/>
          <w:lang w:val="el-GR"/>
        </w:rPr>
        <w:t>32 του πλαισίου επίδοσης και Δείκτη  Αποτελέσματος 4</w:t>
      </w:r>
      <w:r w:rsidRPr="00496867">
        <w:rPr>
          <w:rFonts w:cs="Calibri"/>
          <w:iCs/>
          <w:color w:val="000000"/>
        </w:rPr>
        <w:t>iii</w:t>
      </w:r>
      <w:r w:rsidRPr="00496867">
        <w:rPr>
          <w:rFonts w:cs="Calibri"/>
          <w:iCs/>
          <w:color w:val="000000"/>
          <w:lang w:val="el-GR"/>
        </w:rPr>
        <w:t>.1-Εξοικονόμηση πρωτογενούς ενέργειας στο δημόσιο τομέα.</w:t>
      </w:r>
    </w:p>
    <w:p w14:paraId="201CDBA4" w14:textId="77777777" w:rsidR="00496867" w:rsidRPr="00496867" w:rsidRDefault="00496867" w:rsidP="00130BC4">
      <w:pPr>
        <w:ind w:left="567"/>
        <w:jc w:val="both"/>
        <w:rPr>
          <w:rFonts w:cs="Calibri"/>
          <w:iCs/>
          <w:lang w:val="el-GR"/>
        </w:rPr>
      </w:pPr>
      <w:r w:rsidRPr="00496867">
        <w:rPr>
          <w:rFonts w:cs="Calibri"/>
          <w:iCs/>
          <w:lang w:val="el-GR"/>
        </w:rPr>
        <w:t xml:space="preserve">Επίσης, </w:t>
      </w:r>
      <w:r w:rsidRPr="00496867">
        <w:rPr>
          <w:rFonts w:cs="Calibri"/>
          <w:b/>
          <w:iCs/>
          <w:lang w:val="el-GR"/>
        </w:rPr>
        <w:t>μέσω του ΕΓΤΑΑ</w:t>
      </w:r>
      <w:r w:rsidRPr="00496867">
        <w:rPr>
          <w:rFonts w:cs="Calibri"/>
          <w:iCs/>
          <w:lang w:val="el-GR"/>
        </w:rPr>
        <w:t xml:space="preserve"> επιδιώκεται η μείωση των εκπομπών αερίων του θερμοκηπίου και αμμωνίας από τον τομέα της γεωργίας, η αύξηση της αποδοτικότητας της ενεργειακής χρήσης και της χρήσης νερού στη γεωργία και τη μεταποίηση τροφίμων, η βελτίωση των μεθόδων διαχείρισης ζωικών αποβλήτων, η εφαρμογή αγροπεριβαλλοντικών μέτρων και η αύξηση της δέσμευσης άνθρακα από τις δασικές εκτάσεις.</w:t>
      </w:r>
      <w:r w:rsidRPr="00496867">
        <w:rPr>
          <w:lang w:val="el-GR"/>
        </w:rPr>
        <w:t xml:space="preserve"> </w:t>
      </w:r>
      <w:r w:rsidRPr="00496867">
        <w:rPr>
          <w:rFonts w:cs="Calibri"/>
          <w:iCs/>
          <w:lang w:val="el-GR"/>
        </w:rPr>
        <w:t xml:space="preserve">Η γεωργική γη που καλύπτεται με σχετικά καθεστώτα διαχείρισης διαμορφώθηκε στο τέλος του 2016 σε 38.973,08 ha, επίπεδο καθόλα ικανοποιητικό, καθώς έχει σχηματίσει το 96% της τιμής του ορόσημου του 2018. Επιπλέον, η συνολική δημόσια δαπάνη της σχετικής Προτεραιότητας του ΠΑΑ για την αποκατάσταση, διατήρηση και ενίσχυση των αγροτικών οικοσυστημάτων, διαμορφώθηκε σε ποσό της τάξης των 31.693.580,45€ που ήδη καλύπτει το ορόσημο του 2018. Σημειώνεται ακόμη ότι υποβλήθηκαν 35 αιτήσεις (που βρίσκονται υπό αξιολόγηση) επενδύσεων γεωργικών εκμεταλλεύσεων που αφορούσαν στη διαχείριση κτηνοτροφικών αποβλήτων και θα συμβάλουν στη μείωση των εκπομπών αερίων του θερμοκηπίου και αμμωνίας. </w:t>
      </w:r>
    </w:p>
    <w:p w14:paraId="0E22E62B"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Τέλος, </w:t>
      </w:r>
      <w:r w:rsidRPr="00496867">
        <w:rPr>
          <w:rFonts w:cs="Calibri"/>
          <w:b/>
          <w:iCs/>
          <w:color w:val="000000"/>
          <w:lang w:val="el-GR"/>
        </w:rPr>
        <w:t>μέσω του ΕΤΘΑ</w:t>
      </w:r>
      <w:r w:rsidRPr="00496867">
        <w:rPr>
          <w:rFonts w:cs="Calibri"/>
          <w:iCs/>
          <w:color w:val="000000"/>
          <w:lang w:val="el-GR"/>
        </w:rPr>
        <w:t xml:space="preserve"> επιδιώκεται η αύξηση του ποσοστού εξοικονόμησης ενέργειας στον αλιευτικό τομέα. Μέχρι την </w:t>
      </w:r>
      <w:r w:rsidRPr="00496867">
        <w:rPr>
          <w:rFonts w:cs="Calibri"/>
          <w:b/>
          <w:iCs/>
          <w:color w:val="000000"/>
          <w:lang w:val="el-GR"/>
        </w:rPr>
        <w:t>31/12/2016 δεν είχαν ενεργοποιηθεί οι πόροι του ΕΤΘΑ</w:t>
      </w:r>
      <w:r w:rsidRPr="00496867">
        <w:rPr>
          <w:rFonts w:cs="Calibri"/>
          <w:iCs/>
          <w:color w:val="000000"/>
          <w:lang w:val="el-GR"/>
        </w:rPr>
        <w:t xml:space="preserve"> σε αυτόν τον Θ.Σ. με αποτέλεσμα να υπάρχει μηδενικό αποτύπωμα στο πλαίσιο επίδοσης και στους σχετιζόμενους επιδιωκόμενους στόχους του Ταμείου.</w:t>
      </w:r>
    </w:p>
    <w:p w14:paraId="6BE4ACF3" w14:textId="77777777" w:rsidR="00496867" w:rsidRPr="00496867" w:rsidRDefault="00496867" w:rsidP="00130BC4">
      <w:pPr>
        <w:spacing w:after="0" w:line="240" w:lineRule="auto"/>
        <w:ind w:left="567"/>
        <w:jc w:val="both"/>
        <w:rPr>
          <w:rFonts w:cs="Calibri"/>
          <w:iCs/>
          <w:color w:val="000000"/>
          <w:lang w:val="el-GR"/>
        </w:rPr>
      </w:pPr>
    </w:p>
    <w:p w14:paraId="3ECBE25C" w14:textId="77777777" w:rsidR="00496867" w:rsidRPr="00496867" w:rsidRDefault="00496867" w:rsidP="00130BC4">
      <w:pPr>
        <w:numPr>
          <w:ilvl w:val="0"/>
          <w:numId w:val="19"/>
        </w:numPr>
        <w:ind w:left="567" w:hanging="141"/>
        <w:jc w:val="both"/>
        <w:rPr>
          <w:rFonts w:cs="Calibri"/>
          <w:b/>
          <w:i/>
          <w:iCs/>
          <w:color w:val="000000"/>
          <w:u w:val="single"/>
          <w:lang w:val="el-GR"/>
        </w:rPr>
      </w:pPr>
      <w:r w:rsidRPr="00496867">
        <w:rPr>
          <w:rFonts w:cs="Calibri"/>
          <w:b/>
          <w:i/>
          <w:iCs/>
          <w:color w:val="000000"/>
          <w:u w:val="single"/>
          <w:lang w:val="el-GR"/>
        </w:rPr>
        <w:t>Προώθηση της Προσαρμογής στην Κλιματική Αλλαγή και της Πρόληψης των Κινδύνων (Θ.Σ. 5)</w:t>
      </w:r>
    </w:p>
    <w:p w14:paraId="2EB7B578"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lastRenderedPageBreak/>
        <w:t xml:space="preserve">Ο </w:t>
      </w:r>
      <w:r w:rsidRPr="00496867">
        <w:rPr>
          <w:rFonts w:cs="Calibri"/>
          <w:b/>
          <w:iCs/>
          <w:color w:val="000000"/>
          <w:lang w:val="el-GR"/>
        </w:rPr>
        <w:t xml:space="preserve">Θ.Σ. 5 επικεντρώνεται </w:t>
      </w:r>
      <w:r w:rsidRPr="00496867">
        <w:rPr>
          <w:rFonts w:cs="Calibri"/>
          <w:iCs/>
          <w:color w:val="000000"/>
          <w:lang w:val="el-GR"/>
        </w:rPr>
        <w:t xml:space="preserve">στις </w:t>
      </w:r>
      <w:r w:rsidRPr="00496867">
        <w:rPr>
          <w:rFonts w:cs="Calibri"/>
          <w:b/>
          <w:iCs/>
          <w:color w:val="000000"/>
          <w:lang w:val="el-GR"/>
        </w:rPr>
        <w:t>ανάγκες προσαρμογής της Κύπρου στην κλιματική αλλαγή</w:t>
      </w:r>
      <w:r w:rsidRPr="00496867">
        <w:rPr>
          <w:rFonts w:cs="Calibri"/>
          <w:iCs/>
          <w:color w:val="000000"/>
          <w:lang w:val="el-GR"/>
        </w:rPr>
        <w:t xml:space="preserve">. Μέσω των </w:t>
      </w:r>
      <w:r w:rsidRPr="00496867">
        <w:rPr>
          <w:rFonts w:cs="Calibri"/>
          <w:b/>
          <w:iCs/>
          <w:color w:val="000000"/>
          <w:lang w:val="el-GR"/>
        </w:rPr>
        <w:t>ΕΔΕΤ</w:t>
      </w:r>
      <w:r w:rsidRPr="00496867">
        <w:rPr>
          <w:rFonts w:cs="Calibri"/>
          <w:iCs/>
          <w:color w:val="000000"/>
          <w:lang w:val="el-GR"/>
        </w:rPr>
        <w:t xml:space="preserve"> επιδιώκονται </w:t>
      </w:r>
      <w:r w:rsidRPr="00496867">
        <w:rPr>
          <w:rFonts w:cs="Calibri"/>
          <w:b/>
          <w:iCs/>
          <w:color w:val="000000"/>
          <w:lang w:val="el-GR"/>
        </w:rPr>
        <w:t>στοχευμένες παρεμβάσεις που αφορούν</w:t>
      </w:r>
      <w:r w:rsidRPr="00496867">
        <w:rPr>
          <w:rFonts w:cs="Calibri"/>
          <w:iCs/>
          <w:color w:val="000000"/>
          <w:lang w:val="el-GR"/>
        </w:rPr>
        <w:t xml:space="preserve"> την εφαρμογή Δασικών Μέτρων και σε Μέτρα για την προώθηση της προσαρμογής και την πρόληψη κινδύνων.</w:t>
      </w:r>
    </w:p>
    <w:p w14:paraId="58B99276" w14:textId="77777777" w:rsidR="00496867" w:rsidRPr="00496867" w:rsidRDefault="00496867" w:rsidP="00130BC4">
      <w:pPr>
        <w:ind w:left="567"/>
        <w:jc w:val="both"/>
        <w:rPr>
          <w:rFonts w:cs="Calibri"/>
          <w:bCs/>
          <w:iCs/>
          <w:color w:val="000000"/>
          <w:lang w:val="el-GR"/>
        </w:rPr>
      </w:pPr>
      <w:r w:rsidRPr="00496867">
        <w:rPr>
          <w:rFonts w:cs="Calibri"/>
          <w:iCs/>
          <w:color w:val="000000"/>
          <w:lang w:val="el-GR"/>
        </w:rPr>
        <w:t xml:space="preserve">Ειδικότερα, μέσω του </w:t>
      </w:r>
      <w:r w:rsidRPr="00496867">
        <w:rPr>
          <w:rFonts w:cs="Calibri"/>
          <w:b/>
          <w:iCs/>
          <w:color w:val="000000"/>
          <w:lang w:val="el-GR"/>
        </w:rPr>
        <w:t>Ταμείου Συνοχής</w:t>
      </w:r>
      <w:r w:rsidRPr="00496867">
        <w:rPr>
          <w:rFonts w:cs="Calibri"/>
          <w:iCs/>
          <w:color w:val="000000"/>
          <w:lang w:val="el-GR"/>
        </w:rPr>
        <w:t xml:space="preserve"> </w:t>
      </w:r>
      <w:r w:rsidRPr="00496867">
        <w:rPr>
          <w:rFonts w:cs="Calibri"/>
          <w:b/>
          <w:iCs/>
          <w:color w:val="000000"/>
          <w:lang w:val="el-GR"/>
        </w:rPr>
        <w:t xml:space="preserve">επιδιώκεται </w:t>
      </w:r>
      <w:r w:rsidRPr="00496867">
        <w:rPr>
          <w:rFonts w:cs="Calibri"/>
          <w:iCs/>
          <w:color w:val="000000"/>
          <w:lang w:val="el-GR"/>
        </w:rPr>
        <w:t xml:space="preserve">ο περιορισμός των επιπτώσεων που συνεπάγεται η κλιματική αλλαγή μέσω επενδύσεων για την πρόληψη και την αποφυγή κινδύνων, καθώς και η βελτίωση της δυνατότητας παρακολούθησης των επιπτώσεων της κλιματικής αλλαγής και της διαχείρισης των κινδύνων που επιφέρει αυτή. </w:t>
      </w:r>
      <w:r w:rsidRPr="00496867">
        <w:rPr>
          <w:rFonts w:cs="Calibri"/>
          <w:b/>
          <w:iCs/>
          <w:color w:val="000000"/>
          <w:lang w:val="el-GR"/>
        </w:rPr>
        <w:t xml:space="preserve">Όλοι οι πόροι του Ταμείου Συνοχής σε αυτόν τον Θ.Σ. (€10 εκ.) έχουν ενεργοποιηθεί </w:t>
      </w:r>
      <w:r w:rsidRPr="00496867">
        <w:rPr>
          <w:rFonts w:cs="Calibri"/>
          <w:iCs/>
          <w:color w:val="000000"/>
          <w:lang w:val="el-GR"/>
        </w:rPr>
        <w:t xml:space="preserve">μέσω της Πρόσκλησης που προκηρύχθηκε το </w:t>
      </w:r>
      <w:r w:rsidRPr="00496867">
        <w:rPr>
          <w:rFonts w:cs="Calibri"/>
          <w:b/>
          <w:iCs/>
          <w:color w:val="000000"/>
          <w:lang w:val="el-GR"/>
        </w:rPr>
        <w:t>2016 Προϋπολογισμού ύψους €14,12 εκ.</w:t>
      </w:r>
      <w:r w:rsidRPr="00496867">
        <w:rPr>
          <w:rFonts w:cs="Calibri"/>
          <w:iCs/>
          <w:color w:val="000000"/>
          <w:lang w:val="el-GR"/>
        </w:rPr>
        <w:t xml:space="preserve"> και στο πλαίσιο της οποίας υπό ένταξη βρίσκονται 2 έργα. Το πρώτο έργο αφορά στην κατασκευή δέκα (10) παράλληλων κυματοθραυστών στον κόλπο Χρυσοχούς και το δεύτερο στη διαμόρφωση Εθνικής Εκτίμησης Κινδύνων για τη διαχείριση (φυσικών) καταστροφών. </w:t>
      </w:r>
      <w:r w:rsidRPr="00496867">
        <w:rPr>
          <w:rFonts w:cs="Calibri"/>
          <w:bCs/>
          <w:iCs/>
          <w:color w:val="000000"/>
          <w:lang w:val="el-GR"/>
        </w:rPr>
        <w:t>Παρόλο ότι δεν είχαν ενταχθεί έργα</w:t>
      </w:r>
      <w:r w:rsidRPr="00496867">
        <w:rPr>
          <w:rFonts w:cs="Calibri"/>
          <w:iCs/>
          <w:color w:val="000000"/>
          <w:lang w:val="el-GR"/>
        </w:rPr>
        <w:t xml:space="preserve"> μέχρι τις 31/12/16, </w:t>
      </w:r>
      <w:r w:rsidRPr="00496867">
        <w:rPr>
          <w:rFonts w:cs="Calibri"/>
          <w:bCs/>
          <w:iCs/>
          <w:color w:val="000000"/>
          <w:lang w:val="el-GR"/>
        </w:rPr>
        <w:t>στο πλαίσιο του πρώτου  έργου είχε ολοκληρωθεί η κατασκευή επτά κυματοθραυστών, σχεδόν καλύπτοντας την τιμή ορόσημο 2018 του Δείκτη Εκροών 5</w:t>
      </w:r>
      <w:r w:rsidRPr="00496867">
        <w:rPr>
          <w:rFonts w:cs="Calibri"/>
          <w:bCs/>
          <w:iCs/>
          <w:color w:val="000000"/>
        </w:rPr>
        <w:t>i</w:t>
      </w:r>
      <w:r w:rsidRPr="00496867">
        <w:rPr>
          <w:rFonts w:cs="Calibri"/>
          <w:bCs/>
          <w:iCs/>
          <w:color w:val="000000"/>
          <w:lang w:val="el-GR"/>
        </w:rPr>
        <w:t xml:space="preserve">.1 του πλαισίου επίδοσης. Η </w:t>
      </w:r>
      <w:r w:rsidRPr="00496867">
        <w:rPr>
          <w:rFonts w:cs="Calibri"/>
          <w:b/>
          <w:bCs/>
          <w:iCs/>
          <w:color w:val="000000"/>
          <w:lang w:val="el-GR"/>
        </w:rPr>
        <w:t>προώθηση υλοποίησης</w:t>
      </w:r>
      <w:r w:rsidRPr="00496867">
        <w:rPr>
          <w:rFonts w:cs="Calibri"/>
          <w:bCs/>
          <w:iCs/>
          <w:color w:val="000000"/>
          <w:lang w:val="el-GR"/>
        </w:rPr>
        <w:t xml:space="preserve"> διάφορων υ</w:t>
      </w:r>
      <w:r w:rsidRPr="00496867">
        <w:rPr>
          <w:rFonts w:cs="Calibri"/>
          <w:b/>
          <w:bCs/>
          <w:iCs/>
          <w:color w:val="000000"/>
          <w:lang w:val="el-GR"/>
        </w:rPr>
        <w:t>ποψήφιων προς ένταξη έργων κατασκευής κυματοθραυστών σε διάφορες παράλιες περιοχές</w:t>
      </w:r>
      <w:r w:rsidRPr="00496867">
        <w:rPr>
          <w:rFonts w:cs="Calibri"/>
          <w:bCs/>
          <w:iCs/>
          <w:color w:val="000000"/>
          <w:lang w:val="el-GR"/>
        </w:rPr>
        <w:t xml:space="preserve"> έχει οδηγήσει στη πραγματοποίηση </w:t>
      </w:r>
      <w:r w:rsidRPr="00496867">
        <w:rPr>
          <w:rFonts w:cs="Calibri"/>
          <w:b/>
          <w:bCs/>
          <w:iCs/>
          <w:color w:val="000000"/>
          <w:lang w:val="el-GR"/>
        </w:rPr>
        <w:t xml:space="preserve">δημόσιων δαπανών ύψους  </w:t>
      </w:r>
      <w:r w:rsidRPr="00496867">
        <w:rPr>
          <w:rFonts w:cs="Calibri"/>
          <w:b/>
          <w:iCs/>
          <w:color w:val="000000"/>
          <w:lang w:val="el-GR"/>
        </w:rPr>
        <w:t>€3,69 εκ.</w:t>
      </w:r>
      <w:r w:rsidRPr="00496867">
        <w:rPr>
          <w:rFonts w:cs="Calibri"/>
          <w:bCs/>
          <w:iCs/>
          <w:color w:val="000000"/>
          <w:lang w:val="el-GR"/>
        </w:rPr>
        <w:t xml:space="preserve">, γεγονός το οποίο δημιουργεί </w:t>
      </w:r>
      <w:r w:rsidRPr="00496867">
        <w:rPr>
          <w:rFonts w:cs="Calibri"/>
          <w:b/>
          <w:bCs/>
          <w:iCs/>
          <w:color w:val="000000"/>
          <w:lang w:val="el-GR"/>
        </w:rPr>
        <w:t>θετικές προοπτικές</w:t>
      </w:r>
      <w:r w:rsidRPr="00496867">
        <w:rPr>
          <w:rFonts w:cs="Calibri"/>
          <w:bCs/>
          <w:iCs/>
          <w:color w:val="000000"/>
          <w:lang w:val="el-GR"/>
        </w:rPr>
        <w:t xml:space="preserve"> για την επίτευξη του στόχου ορόσημο του 2018 και του τελικού στόχου 2023 του παραπάνω δείκτη αλλά και του </w:t>
      </w:r>
      <w:r w:rsidRPr="00496867">
        <w:rPr>
          <w:rFonts w:cs="Calibri"/>
          <w:b/>
          <w:bCs/>
          <w:iCs/>
          <w:color w:val="000000"/>
          <w:lang w:val="el-GR"/>
        </w:rPr>
        <w:t>Χρηματοοικονομικού Δείκτη 5 του πλαισίου επίδοσης</w:t>
      </w:r>
      <w:r w:rsidRPr="00496867">
        <w:rPr>
          <w:rFonts w:cs="Calibri"/>
          <w:bCs/>
          <w:iCs/>
          <w:color w:val="000000"/>
          <w:lang w:val="el-GR"/>
        </w:rPr>
        <w:t>.</w:t>
      </w:r>
    </w:p>
    <w:p w14:paraId="623498D9" w14:textId="77777777" w:rsidR="00496867" w:rsidRPr="0002568F" w:rsidRDefault="00496867" w:rsidP="00130BC4">
      <w:pPr>
        <w:ind w:left="567"/>
        <w:jc w:val="both"/>
        <w:rPr>
          <w:rFonts w:cs="Calibri"/>
          <w:iCs/>
          <w:lang w:val="el-GR"/>
        </w:rPr>
      </w:pPr>
      <w:r w:rsidRPr="00496867">
        <w:rPr>
          <w:rFonts w:cs="Calibri"/>
          <w:iCs/>
          <w:lang w:val="el-GR"/>
        </w:rPr>
        <w:t xml:space="preserve">Αντίστοιχα, </w:t>
      </w:r>
      <w:r w:rsidRPr="00496867">
        <w:rPr>
          <w:rFonts w:cs="Calibri"/>
          <w:b/>
          <w:iCs/>
          <w:lang w:val="el-GR"/>
        </w:rPr>
        <w:t>μέσω του ΕΓΤΑΑ</w:t>
      </w:r>
      <w:r w:rsidRPr="00496867">
        <w:rPr>
          <w:rFonts w:cs="Calibri"/>
          <w:iCs/>
          <w:lang w:val="el-GR"/>
        </w:rPr>
        <w:t xml:space="preserve"> επιδιώκεται η αύξηση της δασοκάλυψης, η προστασία από πυρκαγιές, η ανακοπή της απερήμωσης των εδαφών, η στήριξη της διάδοσης πληροφοριών σχετικά με την προσαρμογή στην κλιματική αλλαγή, η προστασία του εδάφους από τη διάβρωση, και τέλος η αύξηση της φυσικής παγίδευσης του διοξειδίου του άνθρακα. </w:t>
      </w:r>
      <w:r w:rsidR="0002568F" w:rsidRPr="0002568F">
        <w:rPr>
          <w:rFonts w:cs="Calibri"/>
          <w:iCs/>
          <w:lang w:val="el-GR"/>
        </w:rPr>
        <w:t>Μέχρι το τέλος του 2016 η γεωργική που καλύπτονταν με τα σχετικά καθεστώτα διαχείρισης είχε διαμορφωθεί σε 1.593,29 ha και η δημόσια δαπάνη σε ύψος 255.592,59 €.</w:t>
      </w:r>
      <w:r w:rsidR="0002568F">
        <w:rPr>
          <w:rFonts w:cs="Calibri"/>
          <w:iCs/>
          <w:lang w:val="el-GR"/>
        </w:rPr>
        <w:t xml:space="preserve">  </w:t>
      </w:r>
    </w:p>
    <w:p w14:paraId="16D8B0D3" w14:textId="77777777" w:rsidR="00496867" w:rsidRPr="00496867" w:rsidRDefault="00496867" w:rsidP="00130BC4">
      <w:pPr>
        <w:spacing w:after="0" w:line="240" w:lineRule="auto"/>
        <w:ind w:left="567"/>
        <w:jc w:val="both"/>
        <w:rPr>
          <w:rFonts w:cs="Calibri"/>
          <w:iCs/>
          <w:color w:val="000000"/>
          <w:lang w:val="el-GR"/>
        </w:rPr>
      </w:pPr>
    </w:p>
    <w:p w14:paraId="12044906" w14:textId="77777777" w:rsidR="00496867" w:rsidRPr="00496867" w:rsidRDefault="00496867" w:rsidP="00130BC4">
      <w:pPr>
        <w:numPr>
          <w:ilvl w:val="0"/>
          <w:numId w:val="19"/>
        </w:numPr>
        <w:ind w:left="567" w:hanging="141"/>
        <w:jc w:val="both"/>
        <w:rPr>
          <w:rFonts w:cs="Calibri"/>
          <w:b/>
          <w:i/>
          <w:iCs/>
          <w:color w:val="000000"/>
          <w:u w:val="single"/>
          <w:lang w:val="el-GR"/>
        </w:rPr>
      </w:pPr>
      <w:r w:rsidRPr="00496867">
        <w:rPr>
          <w:rFonts w:cs="Calibri"/>
          <w:b/>
          <w:i/>
          <w:iCs/>
          <w:color w:val="000000"/>
          <w:u w:val="single"/>
          <w:lang w:val="el-GR"/>
        </w:rPr>
        <w:t>Προστασία του Περιβάλλοντος και Προώθηση της Αποδοτικής Χρήσης των Πόρων (Θ.Σ. 6)</w:t>
      </w:r>
    </w:p>
    <w:p w14:paraId="497231C3"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Στο πλαίσιο του </w:t>
      </w:r>
      <w:r w:rsidRPr="00496867">
        <w:rPr>
          <w:rFonts w:cs="Calibri"/>
          <w:b/>
          <w:iCs/>
          <w:color w:val="000000"/>
          <w:lang w:val="el-GR"/>
        </w:rPr>
        <w:t>Θ.Σ. 6 επιχειρείται</w:t>
      </w:r>
      <w:r w:rsidRPr="00496867">
        <w:rPr>
          <w:rFonts w:cs="Calibri"/>
          <w:iCs/>
          <w:color w:val="000000"/>
          <w:lang w:val="el-GR"/>
        </w:rPr>
        <w:t xml:space="preserve"> η πλήρης συμμόρφωση της χώρας με το Κοινοτικό Κεκτημένο στον τομέα του περιβάλλοντος με τρόπο που να εξυπηρετείται η αειφόρος ανάπτυξη, συμπεριλαμβανομένης της πράσινης και της γαλάζιας ανάπτυξης. Μέσω των </w:t>
      </w:r>
      <w:r w:rsidRPr="00496867">
        <w:rPr>
          <w:rFonts w:cs="Calibri"/>
          <w:b/>
          <w:iCs/>
          <w:color w:val="000000"/>
          <w:lang w:val="el-GR"/>
        </w:rPr>
        <w:t>ΕΔΕΤ</w:t>
      </w:r>
      <w:r w:rsidRPr="00496867">
        <w:rPr>
          <w:rFonts w:cs="Calibri"/>
          <w:iCs/>
          <w:color w:val="000000"/>
          <w:lang w:val="el-GR"/>
        </w:rPr>
        <w:t xml:space="preserve"> επιδιώκονται </w:t>
      </w:r>
      <w:r w:rsidRPr="00496867">
        <w:rPr>
          <w:rFonts w:cs="Calibri"/>
          <w:b/>
          <w:iCs/>
          <w:color w:val="000000"/>
          <w:lang w:val="el-GR"/>
        </w:rPr>
        <w:t xml:space="preserve">στοχευμένες παρεμβάσεις που αφορούν </w:t>
      </w:r>
      <w:r w:rsidRPr="00496867">
        <w:rPr>
          <w:rFonts w:cs="Calibri"/>
          <w:iCs/>
          <w:color w:val="000000"/>
          <w:lang w:val="el-GR"/>
        </w:rPr>
        <w:t>την ολοκλήρωση των αναγκαίων υποδομών στον τομέα των αποβλήτων, η διαχείριση των υδάτινων πόρων και του εδάφους, η αξιοποίηση των φυσικών και πολιτιστικών πόρων της Κύπρου καθώς και η προστασία και η αποκατάσταση της βιοποικιλότητας.</w:t>
      </w:r>
    </w:p>
    <w:p w14:paraId="3CEBE3BA"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Ειδικότερα, μέσω του </w:t>
      </w:r>
      <w:r w:rsidRPr="00496867">
        <w:rPr>
          <w:rFonts w:cs="Calibri"/>
          <w:b/>
          <w:iCs/>
          <w:color w:val="000000"/>
          <w:lang w:val="el-GR"/>
        </w:rPr>
        <w:t>ΕΤΠΑ επιδιώκεται</w:t>
      </w:r>
      <w:r w:rsidRPr="00496867">
        <w:rPr>
          <w:rFonts w:cs="Calibri"/>
          <w:iCs/>
          <w:color w:val="000000"/>
          <w:lang w:val="el-GR"/>
        </w:rPr>
        <w:t xml:space="preserve"> η αύξηση της έκτασης των περιοχών </w:t>
      </w:r>
      <w:r w:rsidRPr="00496867">
        <w:rPr>
          <w:rFonts w:cs="Calibri"/>
          <w:iCs/>
          <w:color w:val="000000"/>
        </w:rPr>
        <w:t>NATURA</w:t>
      </w:r>
      <w:r w:rsidRPr="00496867">
        <w:rPr>
          <w:rFonts w:cs="Calibri"/>
          <w:iCs/>
          <w:color w:val="000000"/>
          <w:lang w:val="el-GR"/>
        </w:rPr>
        <w:t xml:space="preserve"> που τίθεται υπό ολοκληρωμένη διαχείριση και προστασία, η αποκατάσταση οικότοπων και ενδιαιτημάτων μέσω της δημιουργίας πράσινων υποδομών και αναβάθμισης του αστικού περιβάλλοντος και τέλος η βελτίωση της ελκυστικότητας περιοχών φυσικού  ή πολιτιστικού ενδιαφέροντος με ιδιαίτερη έμφαση στην ανάδειξη των πολιτιστικών πόρων και την ενίσχυση της συμβολής τους στην </w:t>
      </w:r>
      <w:r w:rsidRPr="00496867">
        <w:rPr>
          <w:rFonts w:cs="Calibri"/>
          <w:iCs/>
          <w:color w:val="000000"/>
          <w:lang w:val="el-GR"/>
        </w:rPr>
        <w:lastRenderedPageBreak/>
        <w:t xml:space="preserve">ανάπτυξη του πολιτιστικού τουρισμού. Μέχρι την </w:t>
      </w:r>
      <w:r w:rsidRPr="00496867">
        <w:rPr>
          <w:rFonts w:cs="Calibri"/>
          <w:b/>
          <w:iCs/>
          <w:color w:val="000000"/>
          <w:lang w:val="el-GR"/>
        </w:rPr>
        <w:t>31/12/2016</w:t>
      </w:r>
      <w:r w:rsidRPr="00496867">
        <w:rPr>
          <w:rFonts w:cs="Calibri"/>
          <w:iCs/>
          <w:color w:val="000000"/>
          <w:lang w:val="el-GR"/>
        </w:rPr>
        <w:t xml:space="preserve"> </w:t>
      </w:r>
      <w:r w:rsidR="00B448DC">
        <w:rPr>
          <w:rFonts w:cs="Calibri"/>
          <w:b/>
          <w:iCs/>
          <w:color w:val="000000"/>
          <w:lang w:val="el-GR"/>
        </w:rPr>
        <w:t xml:space="preserve">είχε ενεργοποιηθεί το </w:t>
      </w:r>
      <w:r w:rsidR="008D0764" w:rsidRPr="008D0764">
        <w:rPr>
          <w:rFonts w:cs="Calibri"/>
          <w:b/>
          <w:iCs/>
          <w:color w:val="000000"/>
          <w:lang w:val="el-GR"/>
        </w:rPr>
        <w:t>59,50</w:t>
      </w:r>
      <w:r w:rsidRPr="00496867">
        <w:rPr>
          <w:rFonts w:cs="Calibri"/>
          <w:b/>
          <w:iCs/>
          <w:color w:val="000000"/>
          <w:lang w:val="el-GR"/>
        </w:rPr>
        <w:t>% των πόρων του ΕΤΠΑ</w:t>
      </w:r>
      <w:r w:rsidRPr="00496867">
        <w:rPr>
          <w:rFonts w:cs="Calibri"/>
          <w:iCs/>
          <w:color w:val="000000"/>
          <w:lang w:val="el-GR"/>
        </w:rPr>
        <w:t xml:space="preserve"> στο Θ.Σ. 6, μέσω της προκήρυξης </w:t>
      </w:r>
      <w:r w:rsidRPr="00496867">
        <w:rPr>
          <w:rFonts w:cs="Calibri"/>
          <w:b/>
          <w:iCs/>
          <w:color w:val="000000"/>
          <w:lang w:val="el-GR"/>
        </w:rPr>
        <w:t>τριών Προσκλήσεων συνολικού Προϋπολογισμού €21 εκ.</w:t>
      </w:r>
      <w:r w:rsidRPr="00496867">
        <w:rPr>
          <w:rFonts w:cs="Calibri"/>
          <w:iCs/>
          <w:color w:val="000000"/>
          <w:lang w:val="el-GR"/>
        </w:rPr>
        <w:t xml:space="preserve"> Παρ΄ ότι δεν είχε ενταχθεί κανένα έργο, έχουν ήδη πραγματοποιηθεί επιλέξιμες δημόσιες δαπάνες σημαντικού ύψους σε διάφορα υποψήφια προς ένταξη έργα.</w:t>
      </w:r>
    </w:p>
    <w:p w14:paraId="408C20E6" w14:textId="77777777" w:rsidR="00496867" w:rsidRPr="00496867" w:rsidRDefault="00496867" w:rsidP="00130BC4">
      <w:pPr>
        <w:ind w:left="567"/>
        <w:jc w:val="both"/>
        <w:rPr>
          <w:rFonts w:cs="Calibri"/>
          <w:b/>
          <w:bCs/>
          <w:color w:val="000000"/>
          <w:lang w:val="el-GR"/>
        </w:rPr>
      </w:pPr>
      <w:r w:rsidRPr="00496867">
        <w:rPr>
          <w:rFonts w:cs="Calibri"/>
          <w:iCs/>
          <w:color w:val="000000"/>
          <w:lang w:val="el-GR"/>
        </w:rPr>
        <w:t xml:space="preserve">Πιο συγκεκριμένα, στο πλαίσιο της </w:t>
      </w:r>
      <w:r w:rsidRPr="00496867">
        <w:rPr>
          <w:rFonts w:cs="Calibri"/>
          <w:b/>
          <w:iCs/>
          <w:color w:val="000000"/>
          <w:lang w:val="el-GR"/>
        </w:rPr>
        <w:t>προστασίας του περιβάλλοντος και της αποδοτικής χρήσης των πόρων</w:t>
      </w:r>
      <w:r w:rsidRPr="00496867">
        <w:rPr>
          <w:rFonts w:cs="Calibri"/>
          <w:iCs/>
          <w:color w:val="000000"/>
          <w:lang w:val="el-GR"/>
        </w:rPr>
        <w:t xml:space="preserve">, η  Πρόσκληση προϋπολογισμού </w:t>
      </w:r>
      <w:r w:rsidRPr="00496867">
        <w:rPr>
          <w:rFonts w:cs="Calibri"/>
          <w:b/>
          <w:iCs/>
          <w:color w:val="000000"/>
          <w:lang w:val="el-GR"/>
        </w:rPr>
        <w:t>€5,7 εκ.</w:t>
      </w:r>
      <w:r w:rsidRPr="00496867">
        <w:rPr>
          <w:rFonts w:cs="Calibri"/>
          <w:iCs/>
          <w:color w:val="000000"/>
          <w:lang w:val="el-GR"/>
        </w:rPr>
        <w:t xml:space="preserve"> προωθεί τη  </w:t>
      </w:r>
      <w:r w:rsidRPr="00496867">
        <w:rPr>
          <w:rFonts w:cs="Calibri"/>
          <w:b/>
          <w:iCs/>
          <w:color w:val="000000"/>
          <w:lang w:val="el-GR"/>
        </w:rPr>
        <w:t xml:space="preserve">βελτίωση της ελκυστικότητας περιοχών φυσικού ή πολιτιστικού ενδιαφέροντος </w:t>
      </w:r>
      <w:r w:rsidRPr="00496867">
        <w:rPr>
          <w:rFonts w:cs="Calibri"/>
          <w:iCs/>
          <w:color w:val="000000"/>
          <w:lang w:val="el-GR"/>
        </w:rPr>
        <w:t xml:space="preserve">και αφορά </w:t>
      </w:r>
      <w:r w:rsidRPr="00496867">
        <w:rPr>
          <w:rFonts w:cs="Calibri"/>
          <w:b/>
          <w:iCs/>
          <w:color w:val="000000"/>
          <w:lang w:val="el-GR"/>
        </w:rPr>
        <w:t>δύο υποψήφια προς ένταξη έργα</w:t>
      </w:r>
      <w:r w:rsidRPr="00496867">
        <w:rPr>
          <w:rFonts w:cs="Calibri"/>
          <w:iCs/>
          <w:color w:val="000000"/>
          <w:lang w:val="el-GR"/>
        </w:rPr>
        <w:t xml:space="preserve"> </w:t>
      </w:r>
      <w:r w:rsidRPr="00496867">
        <w:rPr>
          <w:rFonts w:cs="Calibri"/>
          <w:b/>
          <w:iCs/>
          <w:color w:val="000000"/>
          <w:lang w:val="el-GR"/>
        </w:rPr>
        <w:t xml:space="preserve">του Δήμου Πάφου </w:t>
      </w:r>
      <w:r w:rsidRPr="00496867">
        <w:rPr>
          <w:rFonts w:cs="Calibri"/>
          <w:iCs/>
          <w:color w:val="000000"/>
          <w:lang w:val="el-GR"/>
        </w:rPr>
        <w:t xml:space="preserve">(«Βελτίωση του Αρχαιολογικού Μουσείου Πάφου» και η «Ενοποίηση των Αρχαιολογικών Χώρων Κάτω Πάφου») κατά την υλοποίηση των οποίων έχουν ήδη πραγματοποιηθεί </w:t>
      </w:r>
      <w:r w:rsidRPr="00496867">
        <w:rPr>
          <w:rFonts w:cs="Calibri"/>
          <w:b/>
          <w:iCs/>
          <w:color w:val="000000"/>
          <w:lang w:val="el-GR"/>
        </w:rPr>
        <w:t>επιλέξιμες δαπάνες ύψους</w:t>
      </w:r>
      <w:r w:rsidRPr="00496867">
        <w:rPr>
          <w:rFonts w:cs="Calibri"/>
          <w:iCs/>
          <w:color w:val="000000"/>
          <w:lang w:val="el-GR"/>
        </w:rPr>
        <w:t xml:space="preserve"> </w:t>
      </w:r>
      <w:r w:rsidRPr="00496867">
        <w:rPr>
          <w:rFonts w:cs="Calibri"/>
          <w:b/>
          <w:bCs/>
          <w:color w:val="000000"/>
          <w:lang w:val="el-GR"/>
        </w:rPr>
        <w:t xml:space="preserve">€0,59 εκ. </w:t>
      </w:r>
      <w:r w:rsidRPr="00496867">
        <w:rPr>
          <w:rFonts w:cs="Calibri"/>
          <w:bCs/>
          <w:color w:val="000000"/>
          <w:lang w:val="el-GR"/>
        </w:rPr>
        <w:t xml:space="preserve">Η έναρξη υλοποίησης των δύο έργων καθιστά εφικτή την επίτευξη του στόχου ορόσημο 2018 του Χρηματοοικονομικού Δείκτη 4Β του πλαισίου Επίδοσης.  </w:t>
      </w:r>
    </w:p>
    <w:p w14:paraId="5AD6F896"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Όσον αφορά τον </w:t>
      </w:r>
      <w:r w:rsidRPr="00496867">
        <w:rPr>
          <w:rFonts w:cs="Calibri"/>
          <w:b/>
          <w:iCs/>
          <w:color w:val="000000"/>
          <w:lang w:val="el-GR"/>
        </w:rPr>
        <w:t>έτερο δείκτη του πλαισίου επίδοσης που σχετίζεται με την προστασία του περιβάλλοντος και την αποδοτική χρήση των πόρων</w:t>
      </w:r>
      <w:r w:rsidRPr="00496867">
        <w:rPr>
          <w:rFonts w:cs="Calibri"/>
          <w:iCs/>
          <w:color w:val="000000"/>
          <w:lang w:val="el-GR"/>
        </w:rPr>
        <w:t xml:space="preserve">, τον </w:t>
      </w:r>
      <w:r w:rsidRPr="00496867">
        <w:rPr>
          <w:rFonts w:cs="Calibri"/>
          <w:b/>
          <w:iCs/>
          <w:color w:val="000000"/>
          <w:lang w:val="el-GR"/>
        </w:rPr>
        <w:t xml:space="preserve">Δείκτη Εκροών </w:t>
      </w:r>
      <w:r w:rsidRPr="00496867">
        <w:rPr>
          <w:rFonts w:cs="Calibri"/>
          <w:b/>
          <w:iCs/>
          <w:color w:val="000000"/>
        </w:rPr>
        <w:t>CO</w:t>
      </w:r>
      <w:r w:rsidRPr="00496867">
        <w:rPr>
          <w:rFonts w:cs="Calibri"/>
          <w:b/>
          <w:iCs/>
          <w:color w:val="000000"/>
          <w:lang w:val="el-GR"/>
        </w:rPr>
        <w:t>23</w:t>
      </w:r>
      <w:r w:rsidRPr="00496867">
        <w:rPr>
          <w:rFonts w:cs="Calibri"/>
          <w:iCs/>
          <w:color w:val="000000"/>
          <w:lang w:val="el-GR"/>
        </w:rPr>
        <w:t xml:space="preserve">, αυτός συνδέεται με τη βελτίωση της κατάστασης των οικότοπων στις περιοχές </w:t>
      </w:r>
      <w:r w:rsidRPr="00496867">
        <w:rPr>
          <w:rFonts w:cs="Calibri"/>
          <w:iCs/>
          <w:color w:val="000000"/>
        </w:rPr>
        <w:t>NATURA</w:t>
      </w:r>
      <w:r w:rsidRPr="00496867">
        <w:rPr>
          <w:rFonts w:cs="Calibri"/>
          <w:iCs/>
          <w:color w:val="000000"/>
          <w:lang w:val="el-GR"/>
        </w:rPr>
        <w:t xml:space="preserve"> 2000 και έχει μηδενική τιμή. Αναμένεται να εξυπηρετηθεί από την προώθηση του υποψήφιου προς ένταξη έργου «Διαχείριση των περιοχών του Δικτύου NATURA 2000» στο πλαίσιο του οποίου προβλέπονται παρεμβάσεις Διαχείρισης της Περιοχής του Δικτύου NATURA 2000 «Χερσόνησος Ακάμα» και παρεμβάσεις Διαχείρισης των περιοχών του Δικτύου NATURA 2000 των λοιπών χερσαίων περιοχών.</w:t>
      </w:r>
    </w:p>
    <w:p w14:paraId="040B74F4" w14:textId="3C6FEA01" w:rsidR="00496867" w:rsidRPr="00496867" w:rsidRDefault="00496867" w:rsidP="00130BC4">
      <w:pPr>
        <w:ind w:left="567"/>
        <w:jc w:val="both"/>
        <w:rPr>
          <w:rFonts w:cs="Calibri"/>
          <w:bCs/>
          <w:color w:val="000000"/>
          <w:lang w:val="el-GR"/>
        </w:rPr>
      </w:pPr>
      <w:r w:rsidRPr="00496867">
        <w:rPr>
          <w:rFonts w:cs="Calibri"/>
          <w:bCs/>
          <w:color w:val="000000"/>
          <w:lang w:val="el-GR"/>
        </w:rPr>
        <w:t xml:space="preserve">Οι </w:t>
      </w:r>
      <w:r w:rsidRPr="00496867">
        <w:rPr>
          <w:rFonts w:cs="Calibri"/>
          <w:b/>
          <w:bCs/>
          <w:color w:val="000000"/>
          <w:lang w:val="el-GR"/>
        </w:rPr>
        <w:t>άλλες δύο Προσκλήσεις</w:t>
      </w:r>
      <w:r w:rsidRPr="00496867">
        <w:rPr>
          <w:rFonts w:cs="Calibri"/>
          <w:bCs/>
          <w:color w:val="000000"/>
          <w:lang w:val="el-GR"/>
        </w:rPr>
        <w:t xml:space="preserve"> εντάσσονται στο  πλαίσιο υλοποίησης της </w:t>
      </w:r>
      <w:r w:rsidRPr="00496867">
        <w:rPr>
          <w:rFonts w:cs="Calibri"/>
          <w:b/>
          <w:bCs/>
          <w:color w:val="000000"/>
          <w:lang w:val="el-GR"/>
        </w:rPr>
        <w:t>Βιώσιμης Αστικής Ανάπτυξης</w:t>
      </w:r>
      <w:r w:rsidRPr="00496867">
        <w:rPr>
          <w:rFonts w:cs="Calibri"/>
          <w:bCs/>
          <w:color w:val="000000"/>
          <w:lang w:val="el-GR"/>
        </w:rPr>
        <w:t xml:space="preserve">. Ειδικότερα, η </w:t>
      </w:r>
      <w:r w:rsidRPr="00496867">
        <w:rPr>
          <w:rFonts w:cs="Calibri"/>
          <w:b/>
          <w:bCs/>
          <w:color w:val="000000"/>
          <w:lang w:val="el-GR"/>
        </w:rPr>
        <w:t xml:space="preserve">Πρόσκληση Προϋπολογισμού €8,3 εκ. </w:t>
      </w:r>
      <w:r w:rsidRPr="00496867">
        <w:rPr>
          <w:rFonts w:cs="Calibri"/>
          <w:bCs/>
          <w:color w:val="000000"/>
          <w:lang w:val="el-GR"/>
        </w:rPr>
        <w:t xml:space="preserve">αποσκοπεί και αυτή στη </w:t>
      </w:r>
      <w:r w:rsidRPr="00496867">
        <w:rPr>
          <w:rFonts w:cs="Calibri"/>
          <w:b/>
          <w:iCs/>
          <w:color w:val="000000"/>
          <w:lang w:val="el-GR"/>
        </w:rPr>
        <w:t xml:space="preserve">βελτίωση της ελκυστικότητας περιοχών φυσικού ή πολιτιστικού ενδιαφέροντος </w:t>
      </w:r>
      <w:r w:rsidRPr="00496867">
        <w:rPr>
          <w:rFonts w:cs="Calibri"/>
          <w:iCs/>
          <w:color w:val="000000"/>
          <w:lang w:val="el-GR"/>
        </w:rPr>
        <w:t xml:space="preserve">και αφορά </w:t>
      </w:r>
      <w:r w:rsidRPr="00496867">
        <w:rPr>
          <w:rFonts w:cs="Calibri"/>
          <w:b/>
          <w:iCs/>
          <w:color w:val="000000"/>
          <w:lang w:val="el-GR"/>
        </w:rPr>
        <w:t>δύο υποψήφια προς ένταξη</w:t>
      </w:r>
      <w:r w:rsidRPr="00496867">
        <w:rPr>
          <w:rFonts w:cs="Calibri"/>
          <w:iCs/>
          <w:color w:val="000000"/>
          <w:lang w:val="el-GR"/>
        </w:rPr>
        <w:t xml:space="preserve"> </w:t>
      </w:r>
      <w:r w:rsidRPr="00496867">
        <w:rPr>
          <w:rFonts w:cs="Calibri"/>
          <w:b/>
          <w:iCs/>
          <w:color w:val="000000"/>
          <w:lang w:val="el-GR"/>
        </w:rPr>
        <w:t>έργα του Δήμου Πάφου ανάδειξης, αναβάθμισης και αξιοποίησης πολιτιστικών πόρων</w:t>
      </w:r>
      <w:r w:rsidRPr="00496867">
        <w:rPr>
          <w:rFonts w:cs="Calibri"/>
          <w:iCs/>
          <w:color w:val="000000"/>
          <w:lang w:val="el-GR"/>
        </w:rPr>
        <w:t xml:space="preserve">. Η άλλη </w:t>
      </w:r>
      <w:r w:rsidRPr="00496867">
        <w:rPr>
          <w:rFonts w:cs="Calibri"/>
          <w:b/>
          <w:iCs/>
          <w:color w:val="000000"/>
          <w:lang w:val="el-GR"/>
        </w:rPr>
        <w:t xml:space="preserve">Πρόσκληση Προϋπολογισμού €7 εκ. </w:t>
      </w:r>
      <w:r w:rsidRPr="00496867">
        <w:rPr>
          <w:rFonts w:cs="Calibri"/>
          <w:iCs/>
          <w:color w:val="000000"/>
          <w:lang w:val="el-GR"/>
        </w:rPr>
        <w:t xml:space="preserve">στοχεύει στην αναζωογόνηση του αστικού περιβάλλοντος, αφορά και αυτή </w:t>
      </w:r>
      <w:r w:rsidRPr="00496867">
        <w:rPr>
          <w:rFonts w:cs="Calibri"/>
          <w:b/>
          <w:iCs/>
          <w:color w:val="000000"/>
          <w:lang w:val="el-GR"/>
        </w:rPr>
        <w:t>το Δήμο Πάφου και σχετίζεται με δύο υποψήφια προς ένταξη έργα αστικής ανάπλασης</w:t>
      </w:r>
      <w:r w:rsidRPr="00496867">
        <w:rPr>
          <w:rFonts w:cs="Calibri"/>
          <w:iCs/>
          <w:color w:val="000000"/>
          <w:lang w:val="el-GR"/>
        </w:rPr>
        <w:t>. Τόσο τα τέσσερα προαναφερόμενα έργα όσο και μία σειρά έργων των υπόλοιπων 3 αστικών Δήμων της Κύπρου, έχουν ήδη πραγματοποιήσει σημαντικό ύψος δαπανών που αναμένεται να συμβάλλουν άμεσα στην επίτευξη των επιδιωκόμενων αποτελεσμάτων της ΣΕΣ.</w:t>
      </w:r>
    </w:p>
    <w:p w14:paraId="46925BAE"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Η </w:t>
      </w:r>
      <w:r w:rsidRPr="00496867">
        <w:rPr>
          <w:rFonts w:cs="Calibri"/>
          <w:b/>
          <w:iCs/>
          <w:color w:val="000000"/>
          <w:lang w:val="el-GR"/>
        </w:rPr>
        <w:t>επίτευξη των επιδιώξεων του Θ.Σ. 6</w:t>
      </w:r>
      <w:r w:rsidRPr="00496867">
        <w:rPr>
          <w:rFonts w:cs="Calibri"/>
          <w:iCs/>
          <w:color w:val="000000"/>
          <w:lang w:val="el-GR"/>
        </w:rPr>
        <w:t xml:space="preserve"> αποτελεί την </w:t>
      </w:r>
      <w:r w:rsidRPr="00496867">
        <w:rPr>
          <w:rFonts w:cs="Calibri"/>
          <w:b/>
          <w:iCs/>
          <w:color w:val="000000"/>
          <w:lang w:val="el-GR"/>
        </w:rPr>
        <w:t>πρώτη προτεραιότητα του Ταμείου Συνοχής</w:t>
      </w:r>
      <w:r w:rsidRPr="00496867">
        <w:rPr>
          <w:rFonts w:cs="Calibri"/>
          <w:iCs/>
          <w:color w:val="000000"/>
          <w:lang w:val="el-GR"/>
        </w:rPr>
        <w:t xml:space="preserve"> καθώς σε αυτές αφιερώνεται το </w:t>
      </w:r>
      <w:r w:rsidRPr="00496867">
        <w:rPr>
          <w:rFonts w:cs="Calibri"/>
          <w:b/>
          <w:iCs/>
          <w:color w:val="000000"/>
          <w:lang w:val="el-GR"/>
        </w:rPr>
        <w:t>47,</w:t>
      </w:r>
      <w:r w:rsidR="00B448DC">
        <w:rPr>
          <w:rFonts w:cs="Calibri"/>
          <w:b/>
          <w:iCs/>
          <w:color w:val="000000"/>
          <w:lang w:val="el-GR"/>
        </w:rPr>
        <w:t>1</w:t>
      </w:r>
      <w:r w:rsidRPr="00496867">
        <w:rPr>
          <w:rFonts w:cs="Calibri"/>
          <w:b/>
          <w:iCs/>
          <w:color w:val="000000"/>
          <w:lang w:val="el-GR"/>
        </w:rPr>
        <w:t xml:space="preserve">2% των πόρων του. </w:t>
      </w:r>
      <w:r w:rsidRPr="00496867">
        <w:rPr>
          <w:rFonts w:cs="Calibri"/>
          <w:iCs/>
          <w:color w:val="000000"/>
          <w:lang w:val="el-GR"/>
        </w:rPr>
        <w:t xml:space="preserve">Μέσω του </w:t>
      </w:r>
      <w:r w:rsidRPr="00496867">
        <w:rPr>
          <w:rFonts w:cs="Calibri"/>
          <w:b/>
          <w:iCs/>
          <w:color w:val="000000"/>
          <w:lang w:val="el-GR"/>
        </w:rPr>
        <w:t>Ταμείου Συνοχής</w:t>
      </w:r>
      <w:r w:rsidRPr="00496867">
        <w:rPr>
          <w:rFonts w:cs="Calibri"/>
          <w:iCs/>
          <w:color w:val="000000"/>
          <w:lang w:val="el-GR"/>
        </w:rPr>
        <w:t xml:space="preserve"> </w:t>
      </w:r>
      <w:r w:rsidRPr="00496867">
        <w:rPr>
          <w:rFonts w:cs="Calibri"/>
          <w:b/>
          <w:iCs/>
          <w:color w:val="000000"/>
          <w:lang w:val="el-GR"/>
        </w:rPr>
        <w:t>επιδιώκεται</w:t>
      </w:r>
      <w:r w:rsidRPr="00496867">
        <w:rPr>
          <w:rFonts w:cs="Calibri"/>
          <w:iCs/>
          <w:color w:val="000000"/>
          <w:lang w:val="el-GR"/>
        </w:rPr>
        <w:t xml:space="preserve"> η αποκατάσταση όλων των χώρων ανεξέλεγκτης διάθεσης απορριμμάτων (ΧΑΔΑ), η μείωση των βιοαποικοδομήσιμων υλικών που διατίθενται σε χώρους υγειονομικής ταφής (Οδηγία 1999/31/ΕΚ), η επίτευξη των στόχων της Οδηγίας Πλαίσιο περί Υδάτων (2000/60/ΕΚ) και της Οδηγίας για τις Πλημμύρες (2007/60/ΕΚ) μέσω της κατάρτισης των αντίστοιχων Σχεδίων Διαχείρισης, η αύξηση της χρήσης ανακυκλωμένου νερού για την ενίσχυση του υδατικού ισοζυγίου, η συμβολή στην κάλυψη των οικισμών με ισοδύναμο πληθυσμό άνω των 2.000 κατοίκων με την εγκατάσταση αποχετευτικών δικτύων και σταθμών επεξεργασίας λυμάτων (Οδηγία 91/271/ΕΕ) και τέλος η αύξηση του ποσοστού ανακυκλώσιμων υλικών από νοικοκυριά (Οδηγία Πλαίσιο 2008/98/ΕΚ).</w:t>
      </w:r>
    </w:p>
    <w:p w14:paraId="77D3EE09" w14:textId="5F59C574" w:rsidR="00496867" w:rsidRPr="00496867" w:rsidRDefault="00496867" w:rsidP="00130BC4">
      <w:pPr>
        <w:ind w:left="567"/>
        <w:jc w:val="both"/>
        <w:rPr>
          <w:rFonts w:cs="Calibri"/>
          <w:bCs/>
          <w:color w:val="000000"/>
          <w:lang w:val="el-GR"/>
        </w:rPr>
      </w:pPr>
      <w:r w:rsidRPr="00496867">
        <w:rPr>
          <w:rFonts w:cs="Calibri"/>
          <w:bCs/>
          <w:color w:val="000000"/>
          <w:lang w:val="el-GR"/>
        </w:rPr>
        <w:lastRenderedPageBreak/>
        <w:t xml:space="preserve">Μέχρι τις 31/12/2016 </w:t>
      </w:r>
      <w:r w:rsidRPr="00496867">
        <w:rPr>
          <w:rFonts w:cs="Calibri"/>
          <w:b/>
          <w:bCs/>
          <w:color w:val="000000"/>
          <w:lang w:val="el-GR"/>
        </w:rPr>
        <w:t xml:space="preserve">είχαν προκηρυχθεί 3 </w:t>
      </w:r>
      <w:r w:rsidRPr="00496867">
        <w:rPr>
          <w:rFonts w:cs="Calibri"/>
          <w:b/>
          <w:iCs/>
          <w:lang w:val="el-GR"/>
        </w:rPr>
        <w:t>Προσκλήσεις Υποβολής Προτάσεων συνολικού Π/Υ €2</w:t>
      </w:r>
      <w:r w:rsidR="00B448DC">
        <w:rPr>
          <w:rFonts w:cs="Calibri"/>
          <w:b/>
          <w:iCs/>
          <w:lang w:val="el-GR"/>
        </w:rPr>
        <w:t>0,10εκ., ενεργοποιώντας το 13,45</w:t>
      </w:r>
      <w:r w:rsidRPr="00496867">
        <w:rPr>
          <w:rFonts w:cs="Calibri"/>
          <w:b/>
          <w:iCs/>
          <w:lang w:val="el-GR"/>
        </w:rPr>
        <w:t>% των πόρων του Ταμείου Συνοχής σε αυτό το Θ.Σ., χωρίς να έχει ενταχθεί κάποιο έργο</w:t>
      </w:r>
      <w:r w:rsidRPr="00496867">
        <w:rPr>
          <w:rFonts w:cs="Calibri"/>
          <w:iCs/>
          <w:lang w:val="el-GR"/>
        </w:rPr>
        <w:t>, με</w:t>
      </w:r>
      <w:r w:rsidRPr="00496867">
        <w:rPr>
          <w:rFonts w:cs="Calibri"/>
          <w:b/>
          <w:iCs/>
          <w:lang w:val="el-GR"/>
        </w:rPr>
        <w:t xml:space="preserve"> </w:t>
      </w:r>
      <w:r w:rsidRPr="00496867">
        <w:rPr>
          <w:rFonts w:cs="Calibri"/>
          <w:bCs/>
          <w:color w:val="000000"/>
          <w:lang w:val="el-GR"/>
        </w:rPr>
        <w:t xml:space="preserve">αποτέλεσμα να είναι μηδενικό το αποτύπωμα στους επιδιωκόμενους στόχους του Θ.Σ. και στο σχετιζόμενους δείκτες του πλαισίου επίδοσης. Ωστόσο, </w:t>
      </w:r>
      <w:r w:rsidRPr="00496867">
        <w:rPr>
          <w:rFonts w:cs="Calibri"/>
          <w:b/>
          <w:bCs/>
          <w:color w:val="000000"/>
          <w:lang w:val="el-GR"/>
        </w:rPr>
        <w:t xml:space="preserve">είχαν πραγματοποιηθεί επιλέξιμες δημόσιες δαπάνες ύψους €26,82 εκ. </w:t>
      </w:r>
      <w:r w:rsidRPr="00496867">
        <w:rPr>
          <w:rFonts w:cs="Calibri"/>
          <w:bCs/>
          <w:color w:val="000000"/>
          <w:lang w:val="el-GR"/>
        </w:rPr>
        <w:t xml:space="preserve">σε διάφορα υποψήφια προς ένταξη έργα, τα πλείστα εκ των οποίων αφορούν «κατά φάσεις έργα» (έργα των οποίων η </w:t>
      </w:r>
      <w:r w:rsidR="00732C52">
        <w:rPr>
          <w:rFonts w:cs="Calibri"/>
          <w:bCs/>
          <w:color w:val="000000"/>
          <w:lang w:val="el-GR"/>
        </w:rPr>
        <w:t>υλοποίηση άρχισε την περίοδο 20</w:t>
      </w:r>
      <w:r w:rsidR="00732C52" w:rsidRPr="00732C52">
        <w:rPr>
          <w:rFonts w:cs="Calibri"/>
          <w:bCs/>
          <w:color w:val="000000"/>
          <w:lang w:val="el-GR"/>
        </w:rPr>
        <w:t>0</w:t>
      </w:r>
      <w:r w:rsidRPr="00496867">
        <w:rPr>
          <w:rFonts w:cs="Calibri"/>
          <w:bCs/>
          <w:color w:val="000000"/>
          <w:lang w:val="el-GR"/>
        </w:rPr>
        <w:t>7-2013 και θα ολοκληρωθεί στην περίοδο 2014-2020). Αυτά τα έργα αφορούν την επέκταση των πράσινων σημείων στην Λεμεσό, την  αναβάθμιση υφιστάμενων υποδομών ή/και δημιουργία νέων υποδομών διαχείρισης αποβλήτων και το αποχετευτικό σύστημα σε τρεις περιοχές (Σολέα, Αθηαίνου και Μείζονος Λεμεσού</w:t>
      </w:r>
      <w:r w:rsidR="00130BC4">
        <w:rPr>
          <w:rFonts w:cs="Calibri"/>
          <w:bCs/>
          <w:color w:val="000000"/>
          <w:lang w:val="el-GR"/>
        </w:rPr>
        <w:t xml:space="preserve">). </w:t>
      </w:r>
      <w:r w:rsidRPr="00496867">
        <w:rPr>
          <w:rFonts w:cs="Calibri"/>
          <w:bCs/>
          <w:color w:val="000000"/>
          <w:lang w:val="el-GR"/>
        </w:rPr>
        <w:t xml:space="preserve">Η ένταξη προγραμματισμένων σημαντικών, αλλά και πέραν των παραπάνω έργων, στα οποία περιλαμβάνονται και πρόσθετα «έργα γέφυρες», όπως η </w:t>
      </w:r>
      <w:r w:rsidR="00291C74">
        <w:rPr>
          <w:rFonts w:cs="Calibri"/>
          <w:bCs/>
          <w:color w:val="000000"/>
          <w:lang w:val="el-GR"/>
        </w:rPr>
        <w:t>«</w:t>
      </w:r>
      <w:r w:rsidRPr="00496867">
        <w:rPr>
          <w:rFonts w:cs="Calibri"/>
          <w:bCs/>
          <w:color w:val="000000"/>
          <w:lang w:val="el-GR"/>
        </w:rPr>
        <w:t>Δημιουργία ΟΕΔΑ Λεμεσού - Φάση Β΄</w:t>
      </w:r>
      <w:r w:rsidR="00291C74">
        <w:rPr>
          <w:rFonts w:cs="Calibri"/>
          <w:bCs/>
          <w:color w:val="000000"/>
          <w:lang w:val="el-GR"/>
        </w:rPr>
        <w:t>»</w:t>
      </w:r>
      <w:r w:rsidRPr="00496867">
        <w:rPr>
          <w:rFonts w:cs="Calibri"/>
          <w:bCs/>
          <w:color w:val="000000"/>
          <w:lang w:val="el-GR"/>
        </w:rPr>
        <w:t xml:space="preserve"> και το </w:t>
      </w:r>
      <w:r w:rsidR="00291C74">
        <w:rPr>
          <w:rFonts w:cs="Calibri"/>
          <w:bCs/>
          <w:color w:val="000000"/>
          <w:lang w:val="el-GR"/>
        </w:rPr>
        <w:t>«</w:t>
      </w:r>
      <w:r w:rsidRPr="00496867">
        <w:rPr>
          <w:rFonts w:cs="Calibri"/>
          <w:bCs/>
          <w:color w:val="000000"/>
          <w:lang w:val="el-GR"/>
        </w:rPr>
        <w:t>Αποχετευτικό Κοκκινοχωρ</w:t>
      </w:r>
      <w:r w:rsidR="001C5429">
        <w:rPr>
          <w:rFonts w:cs="Calibri"/>
          <w:bCs/>
          <w:color w:val="000000"/>
          <w:lang w:val="el-GR"/>
        </w:rPr>
        <w:t>ίω</w:t>
      </w:r>
      <w:r w:rsidRPr="00496867">
        <w:rPr>
          <w:rFonts w:cs="Calibri"/>
          <w:bCs/>
          <w:color w:val="000000"/>
          <w:lang w:val="el-GR"/>
        </w:rPr>
        <w:t>ν - Φάση Β</w:t>
      </w:r>
      <w:r w:rsidR="00291C74">
        <w:rPr>
          <w:rFonts w:cs="Calibri"/>
          <w:bCs/>
          <w:color w:val="000000"/>
          <w:lang w:val="el-GR"/>
        </w:rPr>
        <w:t>»</w:t>
      </w:r>
      <w:r w:rsidRPr="00496867">
        <w:rPr>
          <w:rFonts w:cs="Calibri"/>
          <w:bCs/>
          <w:color w:val="000000"/>
          <w:lang w:val="el-GR"/>
        </w:rPr>
        <w:t>, θα συμβάλλουν καθοριστικά στην επίτευξη του Οροσήμου και της τελικής τιμής των σχετιζόμενων με το Θ.Σ. 6 δεικτών του πλαισίου επίδοσης.</w:t>
      </w:r>
    </w:p>
    <w:p w14:paraId="185FC895" w14:textId="77777777" w:rsidR="00496867" w:rsidRPr="00496867" w:rsidRDefault="00496867" w:rsidP="00130BC4">
      <w:pPr>
        <w:ind w:left="567"/>
        <w:jc w:val="both"/>
        <w:rPr>
          <w:rFonts w:cs="Calibri"/>
          <w:iCs/>
          <w:lang w:val="el-GR"/>
        </w:rPr>
      </w:pPr>
      <w:r w:rsidRPr="00496867">
        <w:rPr>
          <w:rFonts w:cs="Calibri"/>
          <w:iCs/>
          <w:lang w:val="el-GR"/>
        </w:rPr>
        <w:t xml:space="preserve">Επιπλέον, μέσω του </w:t>
      </w:r>
      <w:r w:rsidRPr="00496867">
        <w:rPr>
          <w:rFonts w:cs="Calibri"/>
          <w:b/>
          <w:iCs/>
          <w:lang w:val="el-GR"/>
        </w:rPr>
        <w:t>ΕΓΤΑΑ</w:t>
      </w:r>
      <w:r w:rsidRPr="00496867">
        <w:rPr>
          <w:rFonts w:cs="Calibri"/>
          <w:iCs/>
          <w:lang w:val="el-GR"/>
        </w:rPr>
        <w:t xml:space="preserve"> </w:t>
      </w:r>
      <w:r w:rsidRPr="00496867">
        <w:rPr>
          <w:rFonts w:cs="Calibri"/>
          <w:b/>
          <w:iCs/>
          <w:lang w:val="el-GR"/>
        </w:rPr>
        <w:t xml:space="preserve">επιδιώκεται </w:t>
      </w:r>
      <w:r w:rsidRPr="00496867">
        <w:rPr>
          <w:rFonts w:cs="Calibri"/>
          <w:iCs/>
          <w:lang w:val="el-GR"/>
        </w:rPr>
        <w:t xml:space="preserve">η αύξηση της αποδοτικότητας στη χρήση ύδατος στη γεωργία, η αύξηση της χρήσης ανακυκλωμένου νερού για σκοπούς άρδευσης, η μείωση νιτρικών στα εδάφη και τους υδάτινους πόρους, η προστασία και βελτίωση της βιοποικιλότητας και η αναβάθμιση των περιοχών υψηλής φυσικής αξίας και </w:t>
      </w:r>
      <w:r w:rsidRPr="00496867">
        <w:rPr>
          <w:rFonts w:cs="Calibri"/>
          <w:iCs/>
        </w:rPr>
        <w:t>Natura</w:t>
      </w:r>
      <w:r w:rsidRPr="00496867">
        <w:rPr>
          <w:rFonts w:cs="Calibri"/>
          <w:iCs/>
          <w:lang w:val="el-GR"/>
        </w:rPr>
        <w:t>. Στο Καθεστώς 4.3.2 του ΠΑΑ (Επενδύσεις σε υποδομές σχετικές με τα ύδατα) εντάχθηκε με Δικαιούχο το Τμήμα Αναπτύξεως Υδάτων (ΤΑΥ), το έργο της κατασκευής χωμάτινης δεξαμενής 500.000 m3 για την αποθήκευση περίσσιας ανακυκλωμένου νερού. Ο συνολικός Π/Υ του εν λόγω έργου ανέρχεται στα 6,5 εκ. €, εκ των οποίων 3,5 εκ. € αποτελούν τη συνεισφορά του ΠΑΑ 2014-2020 στη χρηματοδότησή του. Επίσης, στην Προκήρυξη του Καθεστώτος 4.3.3 (Εφαρμογή καινοτόμων τεχνολογιών σε αρδευτικά έργα) υποβλήθηκε και εγκρίθηκε το έργο που αφορά στη μελέτη και εγκατάσταση ηλεκτρονικού συστήματος υψηλής τεχνολογίας για παρακολούθηση της λειτουργίας του υφιστάμενου αρδευτικού έργου Κοκκινοχωρίων με Π/Υ 1 εκ. €. Σημειώνεται επίσης ότι θετικά συνεργούν όλα τα εκταρικά αγροπεριβαλλοντικά μέτρα με συνολική δημόσια δαπάνη μέχρι το τέλος του 2016 της τάξης των 31,69 εκατ. ευρώ.</w:t>
      </w:r>
    </w:p>
    <w:p w14:paraId="2D9EB29A" w14:textId="77777777" w:rsidR="00496867" w:rsidRPr="00496867" w:rsidRDefault="00496867" w:rsidP="00130BC4">
      <w:pPr>
        <w:ind w:left="567"/>
        <w:jc w:val="both"/>
        <w:rPr>
          <w:rFonts w:cs="Calibri"/>
          <w:iCs/>
          <w:color w:val="000000"/>
          <w:lang w:val="el-GR"/>
        </w:rPr>
      </w:pPr>
      <w:r w:rsidRPr="00AD484A">
        <w:rPr>
          <w:rFonts w:cs="Calibri"/>
          <w:iCs/>
          <w:color w:val="000000"/>
          <w:lang w:val="el-GR"/>
        </w:rPr>
        <w:t xml:space="preserve">Τέλος, μέσω του </w:t>
      </w:r>
      <w:r w:rsidRPr="00AD484A">
        <w:rPr>
          <w:rFonts w:cs="Calibri"/>
          <w:b/>
          <w:iCs/>
          <w:color w:val="000000"/>
          <w:lang w:val="el-GR"/>
        </w:rPr>
        <w:t>ΕΤΘΑ</w:t>
      </w:r>
      <w:r w:rsidRPr="00AD484A">
        <w:rPr>
          <w:rFonts w:cs="Calibri"/>
          <w:iCs/>
          <w:color w:val="000000"/>
          <w:lang w:val="el-GR"/>
        </w:rPr>
        <w:t xml:space="preserve"> </w:t>
      </w:r>
      <w:r w:rsidRPr="00AD484A">
        <w:rPr>
          <w:rFonts w:cs="Calibri"/>
          <w:b/>
          <w:iCs/>
          <w:color w:val="000000"/>
          <w:lang w:val="el-GR"/>
        </w:rPr>
        <w:t>επιδιώκεται</w:t>
      </w:r>
      <w:r w:rsidRPr="00AD484A">
        <w:rPr>
          <w:rFonts w:cs="Calibri"/>
          <w:iCs/>
          <w:color w:val="000000"/>
          <w:lang w:val="el-GR"/>
        </w:rPr>
        <w:t xml:space="preserve"> η προστασία και η αποκατάσταση της θαλάσσιας βιοποικιλότητας και των οικοσυστημάτων, περιλαμβανομένων των θαλάσσιων περιοχών </w:t>
      </w:r>
      <w:r w:rsidRPr="00AD484A">
        <w:rPr>
          <w:rFonts w:cs="Calibri"/>
          <w:iCs/>
          <w:color w:val="000000"/>
        </w:rPr>
        <w:t>NATURA</w:t>
      </w:r>
      <w:r w:rsidRPr="00AD484A">
        <w:rPr>
          <w:rFonts w:cs="Calibri"/>
          <w:iCs/>
          <w:color w:val="000000"/>
          <w:lang w:val="el-GR"/>
        </w:rPr>
        <w:t xml:space="preserve"> 2000, η συμβολή στην ολοκληρωμένη διαχείριση των παράκτιων ζωνών και στο θαλάσσιο χωροταξικό σχεδιασμό, η προστασία και η αποκατάσταση της θαλάσσιας βιοποικιλότητας και των οικοσυστημάτων στο πλαίσιο των βιώσιμων αλιευτικών δραστηριοτήτων, η ενίσχυση της γνώσης και η συγκέντρωση δεδομένων για το θαλάσσιο περιβάλλον και η αξιοποίησή τους στα πλαίσια της Ολοκληρωμένης Θαλάσσιας Πολιτικής και της ολοκληρωμένης θαλάσσιας επιτήρησης, και τέλος η προώθηση οικονομικά και περιβαλλοντικά βιώσιμων επιχειρήσεων στον τομέα της υδατοκαλλιέργειας.</w:t>
      </w:r>
      <w:r w:rsidRPr="00496867">
        <w:rPr>
          <w:rFonts w:cs="Calibri"/>
          <w:iCs/>
          <w:color w:val="000000"/>
          <w:lang w:val="el-GR"/>
        </w:rPr>
        <w:t xml:space="preserve"> </w:t>
      </w:r>
    </w:p>
    <w:p w14:paraId="3C3699CF" w14:textId="1EE6A707" w:rsidR="00496867" w:rsidRPr="00496867" w:rsidRDefault="00496867" w:rsidP="00130BC4">
      <w:pPr>
        <w:ind w:left="567"/>
        <w:jc w:val="both"/>
        <w:rPr>
          <w:rFonts w:cs="Calibri"/>
          <w:iCs/>
          <w:color w:val="000000"/>
          <w:lang w:val="el-GR"/>
        </w:rPr>
      </w:pPr>
      <w:r w:rsidRPr="00496867">
        <w:rPr>
          <w:rFonts w:cs="Calibri"/>
          <w:iCs/>
          <w:color w:val="000000"/>
          <w:lang w:val="el-GR"/>
        </w:rPr>
        <w:t>Μέχρι τ</w:t>
      </w:r>
      <w:r w:rsidR="00130BC4">
        <w:rPr>
          <w:rFonts w:cs="Calibri"/>
          <w:iCs/>
          <w:color w:val="000000"/>
          <w:lang w:val="el-GR"/>
        </w:rPr>
        <w:t>ις</w:t>
      </w:r>
      <w:r w:rsidRPr="00496867">
        <w:rPr>
          <w:rFonts w:cs="Calibri"/>
          <w:iCs/>
          <w:color w:val="000000"/>
          <w:lang w:val="el-GR"/>
        </w:rPr>
        <w:t xml:space="preserve"> </w:t>
      </w:r>
      <w:r w:rsidRPr="00496867">
        <w:rPr>
          <w:rFonts w:cs="Calibri"/>
          <w:b/>
          <w:iCs/>
          <w:color w:val="000000"/>
          <w:lang w:val="el-GR"/>
        </w:rPr>
        <w:t>31/12/2016</w:t>
      </w:r>
      <w:r w:rsidRPr="00496867">
        <w:rPr>
          <w:rFonts w:cs="Calibri"/>
          <w:iCs/>
          <w:color w:val="000000"/>
          <w:lang w:val="el-GR"/>
        </w:rPr>
        <w:t xml:space="preserve"> είχε </w:t>
      </w:r>
      <w:r w:rsidRPr="00496867">
        <w:rPr>
          <w:rFonts w:cs="Calibri"/>
          <w:b/>
          <w:iCs/>
          <w:color w:val="000000"/>
          <w:lang w:val="el-GR"/>
        </w:rPr>
        <w:t xml:space="preserve">ενεργοποιηθεί το </w:t>
      </w:r>
      <w:r w:rsidR="00FE0A9C">
        <w:rPr>
          <w:rFonts w:cs="Calibri"/>
          <w:b/>
          <w:iCs/>
          <w:color w:val="000000"/>
          <w:lang w:val="el-GR"/>
        </w:rPr>
        <w:t>11,33</w:t>
      </w:r>
      <w:r w:rsidRPr="00496867">
        <w:rPr>
          <w:rFonts w:cs="Calibri"/>
          <w:b/>
          <w:iCs/>
          <w:color w:val="000000"/>
          <w:lang w:val="el-GR"/>
        </w:rPr>
        <w:t xml:space="preserve">% (€3,5 εκ.) των πόρων του </w:t>
      </w:r>
      <w:r w:rsidR="00FE0A9C">
        <w:rPr>
          <w:rFonts w:cs="Calibri"/>
          <w:b/>
          <w:iCs/>
          <w:color w:val="000000"/>
          <w:lang w:val="el-GR"/>
        </w:rPr>
        <w:t xml:space="preserve">Ε.Π. «Θάλασσα» 2014-2020 </w:t>
      </w:r>
      <w:r w:rsidRPr="00496867">
        <w:rPr>
          <w:rFonts w:cs="Calibri"/>
          <w:b/>
          <w:iCs/>
          <w:color w:val="000000"/>
          <w:lang w:val="el-GR"/>
        </w:rPr>
        <w:t>στο πλαίσιο του Θ.Σ. 6</w:t>
      </w:r>
      <w:r w:rsidRPr="00496867">
        <w:rPr>
          <w:rFonts w:cs="Calibri"/>
          <w:iCs/>
          <w:color w:val="000000"/>
          <w:lang w:val="el-GR"/>
        </w:rPr>
        <w:t xml:space="preserve">. μέσω της </w:t>
      </w:r>
      <w:r w:rsidRPr="00496867">
        <w:rPr>
          <w:rFonts w:cs="Calibri"/>
          <w:b/>
          <w:iCs/>
          <w:color w:val="000000"/>
          <w:lang w:val="el-GR"/>
        </w:rPr>
        <w:t>προκήρυξης τριών Προσκλήσεων για Σχέδια Χορηγιών σε ισάριθμα Μέτρα</w:t>
      </w:r>
      <w:r w:rsidRPr="00496867">
        <w:rPr>
          <w:rFonts w:cs="Calibri"/>
          <w:iCs/>
          <w:color w:val="000000"/>
          <w:lang w:val="el-GR"/>
        </w:rPr>
        <w:t xml:space="preserve">.  Πιο συγκεκριμένα, το </w:t>
      </w:r>
      <w:r w:rsidRPr="00AD484A">
        <w:rPr>
          <w:rFonts w:cs="Calibri"/>
          <w:iCs/>
          <w:color w:val="000000"/>
          <w:lang w:val="el-GR"/>
        </w:rPr>
        <w:t>2015  για την</w:t>
      </w:r>
      <w:r w:rsidRPr="00496867">
        <w:rPr>
          <w:rFonts w:cs="Calibri"/>
          <w:b/>
          <w:iCs/>
          <w:color w:val="000000"/>
          <w:lang w:val="el-GR"/>
        </w:rPr>
        <w:t xml:space="preserve"> </w:t>
      </w:r>
      <w:r w:rsidRPr="00496867">
        <w:rPr>
          <w:rFonts w:cs="Calibri"/>
          <w:iCs/>
          <w:color w:val="000000"/>
          <w:lang w:val="el-GR"/>
        </w:rPr>
        <w:t xml:space="preserve">εξασφάλιση ισορροπίας μεταξύ </w:t>
      </w:r>
      <w:r w:rsidRPr="00496867">
        <w:rPr>
          <w:rFonts w:cs="Calibri"/>
          <w:iCs/>
          <w:color w:val="000000"/>
          <w:lang w:val="el-GR"/>
        </w:rPr>
        <w:lastRenderedPageBreak/>
        <w:t xml:space="preserve">αλιευτικής ικανότητας και των διαθέσιμων αλιευτικών δραστηριοτήτων εκδόθηκε Πρόσκληση (Π/Υ €3 εκ.), </w:t>
      </w:r>
      <w:r w:rsidRPr="00496867">
        <w:rPr>
          <w:rFonts w:cs="Calibri"/>
          <w:b/>
          <w:iCs/>
          <w:color w:val="000000"/>
          <w:lang w:val="el-GR"/>
        </w:rPr>
        <w:t xml:space="preserve">στο πλαίσιο του Μέτρου 1.10-Αρ. 34, </w:t>
      </w:r>
      <w:r w:rsidRPr="00496867">
        <w:rPr>
          <w:rFonts w:cs="Calibri"/>
          <w:iCs/>
          <w:color w:val="000000"/>
          <w:lang w:val="el-GR"/>
        </w:rPr>
        <w:t>σχετικά με την απόσυρση αλιευτικών σκαφών παράκτιας αλιείας</w:t>
      </w:r>
      <w:r w:rsidRPr="00496867">
        <w:rPr>
          <w:rFonts w:cs="Calibri"/>
          <w:b/>
          <w:iCs/>
          <w:color w:val="000000"/>
          <w:lang w:val="el-GR"/>
        </w:rPr>
        <w:t>.</w:t>
      </w:r>
      <w:r w:rsidRPr="00496867">
        <w:rPr>
          <w:rFonts w:cs="Calibri"/>
          <w:iCs/>
          <w:color w:val="000000"/>
          <w:lang w:val="el-GR"/>
        </w:rPr>
        <w:t xml:space="preserve"> Μέχρι την 31/12/2016 </w:t>
      </w:r>
      <w:r w:rsidRPr="00496867">
        <w:rPr>
          <w:rFonts w:cs="Calibri"/>
          <w:b/>
          <w:iCs/>
          <w:color w:val="000000"/>
          <w:lang w:val="el-GR"/>
        </w:rPr>
        <w:t>είχε καταβληθεί το ποσό των €2,95 εκατ. ενώ είχαν ενταχθεί 66 έργα</w:t>
      </w:r>
      <w:r w:rsidRPr="00496867">
        <w:rPr>
          <w:rFonts w:cs="Calibri"/>
          <w:iCs/>
          <w:color w:val="000000"/>
          <w:lang w:val="el-GR"/>
        </w:rPr>
        <w:t xml:space="preserve"> </w:t>
      </w:r>
      <w:r w:rsidRPr="00496867">
        <w:rPr>
          <w:rFonts w:cs="Calibri"/>
          <w:b/>
          <w:iCs/>
          <w:color w:val="000000"/>
          <w:lang w:val="el-GR"/>
        </w:rPr>
        <w:t>καλύπτοντας ήδη την τιμή στόχο για το 2023</w:t>
      </w:r>
      <w:r w:rsidRPr="00496867">
        <w:rPr>
          <w:rFonts w:cs="Calibri"/>
          <w:iCs/>
          <w:color w:val="000000"/>
          <w:lang w:val="el-GR"/>
        </w:rPr>
        <w:t xml:space="preserve"> </w:t>
      </w:r>
      <w:r w:rsidRPr="00496867">
        <w:rPr>
          <w:rFonts w:cs="Calibri"/>
          <w:b/>
          <w:iCs/>
          <w:color w:val="000000"/>
          <w:lang w:val="el-GR"/>
        </w:rPr>
        <w:t>του δείκτη εκροών 1.5 του πλαισίου επίδοσης</w:t>
      </w:r>
      <w:r w:rsidRPr="00496867">
        <w:rPr>
          <w:rFonts w:cs="Calibri"/>
          <w:iCs/>
          <w:color w:val="000000"/>
          <w:lang w:val="el-GR"/>
        </w:rPr>
        <w:t>.</w:t>
      </w:r>
    </w:p>
    <w:p w14:paraId="15B76834"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Επιπλέον, </w:t>
      </w:r>
      <w:r w:rsidRPr="00496867">
        <w:rPr>
          <w:rFonts w:cs="Calibri"/>
          <w:b/>
          <w:iCs/>
          <w:color w:val="000000"/>
          <w:lang w:val="el-GR"/>
        </w:rPr>
        <w:t xml:space="preserve">το 2016 </w:t>
      </w:r>
      <w:r w:rsidRPr="00AD484A">
        <w:rPr>
          <w:rFonts w:cs="Calibri"/>
          <w:iCs/>
          <w:color w:val="000000"/>
          <w:lang w:val="el-GR"/>
        </w:rPr>
        <w:t>για</w:t>
      </w:r>
      <w:r w:rsidRPr="00496867">
        <w:rPr>
          <w:rFonts w:cs="Calibri"/>
          <w:b/>
          <w:iCs/>
          <w:color w:val="000000"/>
          <w:lang w:val="el-GR"/>
        </w:rPr>
        <w:t xml:space="preserve"> </w:t>
      </w:r>
      <w:r w:rsidRPr="00496867">
        <w:rPr>
          <w:rFonts w:cs="Calibri"/>
          <w:iCs/>
          <w:color w:val="000000"/>
          <w:lang w:val="el-GR"/>
        </w:rPr>
        <w:t>την προστασία και αποκατάσταση της θαλάσσιας βιοποικιλότητας και των οικοσυστημάτων εκδόθηκε Πρόσκληση (Π/Υ €200 χιλ.),</w:t>
      </w:r>
      <w:r w:rsidRPr="00496867">
        <w:rPr>
          <w:rFonts w:cs="Calibri"/>
          <w:b/>
          <w:iCs/>
          <w:color w:val="000000"/>
          <w:lang w:val="el-GR"/>
        </w:rPr>
        <w:t xml:space="preserve"> στο πλαίσιο του Μέτρου 1.18 (Άρ. 40.1 β-ζ, θ),</w:t>
      </w:r>
      <w:r w:rsidRPr="00496867">
        <w:rPr>
          <w:rFonts w:cs="Calibri"/>
          <w:iCs/>
          <w:color w:val="000000"/>
          <w:lang w:val="el-GR"/>
        </w:rPr>
        <w:t xml:space="preserve"> για την καταπολέμηση του Λαγοκέφαλου στα παράκτια νερά της Κύπρου</w:t>
      </w:r>
      <w:r w:rsidR="00FE0A9C">
        <w:rPr>
          <w:rFonts w:cs="Calibri"/>
          <w:iCs/>
          <w:color w:val="000000"/>
          <w:lang w:val="el-GR"/>
        </w:rPr>
        <w:t xml:space="preserve"> (Άρθρο 40.1θ)</w:t>
      </w:r>
      <w:r w:rsidRPr="00496867">
        <w:rPr>
          <w:rFonts w:cs="Calibri"/>
          <w:iCs/>
          <w:color w:val="000000"/>
          <w:lang w:val="el-GR"/>
        </w:rPr>
        <w:t>. Μέχρι το τέλος του 2016, είχε καταβληθεί το ποσό των €41 χιλ. σε 6 ενταγμένα έργα προϋπολογισμού €141 χιλ.,</w:t>
      </w:r>
      <w:r w:rsidRPr="00496867">
        <w:rPr>
          <w:rFonts w:cs="Calibri"/>
          <w:b/>
          <w:iCs/>
          <w:color w:val="000000"/>
          <w:lang w:val="el-GR"/>
        </w:rPr>
        <w:t xml:space="preserve"> καλύπτοντας κατά 42,85% την τιμή στόχου του δείκτη εκροών 1.6 του πλαισίου επίδοσης </w:t>
      </w:r>
      <w:r w:rsidRPr="00496867">
        <w:rPr>
          <w:rFonts w:cs="Calibri"/>
          <w:iCs/>
          <w:color w:val="000000"/>
          <w:lang w:val="el-GR"/>
        </w:rPr>
        <w:t xml:space="preserve">(αρ. σχετικών έργων). Η υλοποίηση των ενταγμένων έργων συνεχίστηκε το 2017 και μέχρι το Μάρτιο είχε καταβληθεί επιπλέον ποσό ύψους €7,9 χιλ. </w:t>
      </w:r>
    </w:p>
    <w:p w14:paraId="382549BD"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Τέλος, το</w:t>
      </w:r>
      <w:r w:rsidRPr="00496867">
        <w:rPr>
          <w:rFonts w:cs="Calibri"/>
          <w:b/>
          <w:iCs/>
          <w:color w:val="000000"/>
          <w:lang w:val="el-GR"/>
        </w:rPr>
        <w:t xml:space="preserve"> 2016</w:t>
      </w:r>
      <w:r w:rsidRPr="00496867">
        <w:rPr>
          <w:rFonts w:cs="Calibri"/>
          <w:iCs/>
          <w:color w:val="000000"/>
          <w:lang w:val="el-GR"/>
        </w:rPr>
        <w:t xml:space="preserve"> </w:t>
      </w:r>
      <w:r w:rsidRPr="00496867">
        <w:rPr>
          <w:rFonts w:cs="Calibri"/>
          <w:b/>
          <w:iCs/>
          <w:color w:val="000000"/>
          <w:lang w:val="el-GR"/>
        </w:rPr>
        <w:t>προωθήθηκε δράση ενίσχυσης των επιχειρήσεων</w:t>
      </w:r>
      <w:r w:rsidRPr="00496867">
        <w:rPr>
          <w:rFonts w:cs="Calibri"/>
          <w:iCs/>
          <w:color w:val="000000"/>
          <w:lang w:val="el-GR"/>
        </w:rPr>
        <w:t xml:space="preserve"> (Π/Υ €300 χιλ.) στο πλαίσιο του  Μέτρου 3.1 (Άρ. 76), ως προς τη συμμόρφωσή τους με τους κανόνες ελέγχου, μέσω της προμήθειας απαραίτητου εξοπλισμού για τη διασφάλιση διαβίβασης δεδομένων αλιείας. Μέχρι το </w:t>
      </w:r>
      <w:r w:rsidRPr="00496867">
        <w:rPr>
          <w:rFonts w:cs="Calibri"/>
          <w:b/>
          <w:iCs/>
          <w:color w:val="000000"/>
          <w:lang w:val="el-GR"/>
        </w:rPr>
        <w:t>τέλος του 2016 δεν είχε ενταχθεί κανένα έργο</w:t>
      </w:r>
      <w:r w:rsidRPr="00496867">
        <w:rPr>
          <w:rFonts w:cs="Calibri"/>
          <w:iCs/>
          <w:color w:val="000000"/>
          <w:lang w:val="el-GR"/>
        </w:rPr>
        <w:t>, με αποτέλεσμα να είναι μ</w:t>
      </w:r>
      <w:r w:rsidRPr="00496867">
        <w:rPr>
          <w:rFonts w:cs="Calibri"/>
          <w:b/>
          <w:iCs/>
          <w:color w:val="000000"/>
          <w:lang w:val="el-GR"/>
        </w:rPr>
        <w:t>ηδενικό το αποτύπωμα της δράσης στον αντίστοιχο δείκτη εκροών 3.1 του πλαισίου επίδοσης</w:t>
      </w:r>
      <w:r w:rsidRPr="00496867">
        <w:rPr>
          <w:rFonts w:cs="Calibri"/>
          <w:iCs/>
          <w:color w:val="000000"/>
          <w:lang w:val="el-GR"/>
        </w:rPr>
        <w:t>, ενώ στις αρχές του 2017 εντάχθηκε το πρώτο έργο προϋπολογισμού €844,11.</w:t>
      </w:r>
    </w:p>
    <w:p w14:paraId="098AB001"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Το </w:t>
      </w:r>
      <w:r w:rsidRPr="00496867">
        <w:rPr>
          <w:rFonts w:cs="Calibri"/>
          <w:b/>
          <w:iCs/>
          <w:color w:val="000000"/>
          <w:lang w:val="el-GR"/>
        </w:rPr>
        <w:t>Φεβρουάριο του 2017</w:t>
      </w:r>
      <w:r w:rsidRPr="00496867">
        <w:rPr>
          <w:rFonts w:cs="Calibri"/>
          <w:iCs/>
          <w:color w:val="000000"/>
          <w:lang w:val="el-GR"/>
        </w:rPr>
        <w:t xml:space="preserve">, προκηρύχθηκαν άλλες </w:t>
      </w:r>
      <w:r w:rsidRPr="00915D62">
        <w:rPr>
          <w:rFonts w:cs="Calibri"/>
          <w:b/>
          <w:iCs/>
          <w:color w:val="000000"/>
          <w:lang w:val="el-GR"/>
        </w:rPr>
        <w:t>τ</w:t>
      </w:r>
      <w:r w:rsidRPr="00496867">
        <w:rPr>
          <w:rFonts w:cs="Calibri"/>
          <w:b/>
          <w:iCs/>
          <w:color w:val="000000"/>
          <w:lang w:val="el-GR"/>
        </w:rPr>
        <w:t>ρεις Προσκλήσεις συνολικού Προϋπολογισμού €11,1 εκ. χωρίς να έχει ενταχθεί κάποιο έργο</w:t>
      </w:r>
      <w:r w:rsidRPr="00496867">
        <w:rPr>
          <w:rFonts w:cs="Calibri"/>
          <w:iCs/>
          <w:color w:val="000000"/>
          <w:lang w:val="el-GR"/>
        </w:rPr>
        <w:t xml:space="preserve"> μέχρι το τέλος Μαρτίου του ίδιου έτους. Πιο συγκεκριμένα, η </w:t>
      </w:r>
      <w:r w:rsidRPr="00496867">
        <w:rPr>
          <w:rFonts w:cs="Calibri"/>
          <w:b/>
          <w:iCs/>
          <w:color w:val="000000"/>
          <w:lang w:val="el-GR"/>
        </w:rPr>
        <w:t xml:space="preserve">πρώτη Πρόσκληση </w:t>
      </w:r>
      <w:r w:rsidRPr="00496867">
        <w:rPr>
          <w:rFonts w:cs="Calibri"/>
          <w:iCs/>
          <w:color w:val="000000"/>
          <w:lang w:val="el-GR"/>
        </w:rPr>
        <w:t xml:space="preserve">με προϋπολογισμό €5,9 εκ. αφορά σε έργα και ενέργειες των αρχών ελέγχου στο πλαίσιο του Μέτρο 3.1 (Αρ. 76). Μέχρι το Μάρτιο είχε υποβληθεί 1 έργο, το οποίο βρίσκεται υπό αξιολόγηση. Η </w:t>
      </w:r>
      <w:r w:rsidRPr="00496867">
        <w:rPr>
          <w:rFonts w:cs="Calibri"/>
          <w:b/>
          <w:iCs/>
          <w:color w:val="000000"/>
          <w:lang w:val="el-GR"/>
        </w:rPr>
        <w:t>δεύτερη Πρόσκληση</w:t>
      </w:r>
      <w:r w:rsidRPr="00496867">
        <w:rPr>
          <w:rFonts w:cs="Calibri"/>
          <w:iCs/>
          <w:color w:val="000000"/>
          <w:lang w:val="el-GR"/>
        </w:rPr>
        <w:t xml:space="preserve"> προϋπολογισμού €4,5 εκ. προκηρύχθηκε στο πλαίσιο του Μέτρου 3.2 (Αρ. 77) με στόχο τη στήριξη της συλλογής, διαχείρισης και χρήσης αλιευτικών δεδομένων. Τέλος, η </w:t>
      </w:r>
      <w:r w:rsidRPr="00496867">
        <w:rPr>
          <w:rFonts w:cs="Calibri"/>
          <w:b/>
          <w:iCs/>
          <w:color w:val="000000"/>
          <w:lang w:val="el-GR"/>
        </w:rPr>
        <w:t>τρίτη Πρόσκληση</w:t>
      </w:r>
      <w:r w:rsidRPr="00496867">
        <w:rPr>
          <w:rFonts w:cs="Calibri"/>
          <w:iCs/>
          <w:color w:val="000000"/>
          <w:lang w:val="el-GR"/>
        </w:rPr>
        <w:t xml:space="preserve"> προϋπολογισμού €700 χιλ. προκηρύχθηκε στο πλαίσιο του Μέτρου 6.3 (Αρ. 80.1γ) και αφορά την προώθηση έργων για την ολοκληρωμένη διαχείριση παράκτιων ζωνών.</w:t>
      </w:r>
    </w:p>
    <w:p w14:paraId="288ECFC3" w14:textId="77777777" w:rsidR="00496867" w:rsidRPr="00496867" w:rsidRDefault="00496867" w:rsidP="00130BC4">
      <w:pPr>
        <w:ind w:left="567"/>
        <w:jc w:val="both"/>
        <w:rPr>
          <w:rFonts w:cs="Calibri"/>
          <w:iCs/>
          <w:color w:val="000000"/>
          <w:lang w:val="el-GR"/>
        </w:rPr>
      </w:pPr>
      <w:r w:rsidRPr="00496867">
        <w:rPr>
          <w:rFonts w:cs="Calibri"/>
          <w:iCs/>
          <w:color w:val="000000"/>
          <w:lang w:val="el-GR"/>
        </w:rPr>
        <w:t xml:space="preserve">Συνολικά, </w:t>
      </w:r>
      <w:r w:rsidRPr="00496867">
        <w:rPr>
          <w:rFonts w:cs="Calibri"/>
          <w:b/>
          <w:iCs/>
          <w:color w:val="000000"/>
          <w:lang w:val="el-GR"/>
        </w:rPr>
        <w:t>μέχρι το Μάρτιο του 2017</w:t>
      </w:r>
      <w:r w:rsidRPr="00496867">
        <w:rPr>
          <w:rFonts w:cs="Calibri"/>
          <w:iCs/>
          <w:color w:val="000000"/>
          <w:lang w:val="el-GR"/>
        </w:rPr>
        <w:t xml:space="preserve"> είχε ενεργοποιηθεί το </w:t>
      </w:r>
      <w:r w:rsidR="001C7A4A">
        <w:rPr>
          <w:rFonts w:cs="Calibri"/>
          <w:b/>
          <w:iCs/>
          <w:color w:val="000000"/>
          <w:lang w:val="el-GR"/>
        </w:rPr>
        <w:t>47,25</w:t>
      </w:r>
      <w:r w:rsidRPr="00496867">
        <w:rPr>
          <w:rFonts w:cs="Calibri"/>
          <w:b/>
          <w:iCs/>
          <w:color w:val="000000"/>
          <w:lang w:val="el-GR"/>
        </w:rPr>
        <w:t xml:space="preserve">% (€14,6 εκ.) των πόρων του </w:t>
      </w:r>
      <w:r w:rsidR="001C7A4A">
        <w:rPr>
          <w:rFonts w:cs="Calibri"/>
          <w:b/>
          <w:iCs/>
          <w:color w:val="000000"/>
          <w:lang w:val="el-GR"/>
        </w:rPr>
        <w:t>Ε.Π. «Θάλασσα» 2014-2020</w:t>
      </w:r>
      <w:r w:rsidRPr="00496867">
        <w:rPr>
          <w:rFonts w:cs="Calibri"/>
          <w:b/>
          <w:iCs/>
          <w:color w:val="000000"/>
          <w:lang w:val="el-GR"/>
        </w:rPr>
        <w:t xml:space="preserve"> στο Θ.Σ. 6</w:t>
      </w:r>
      <w:r w:rsidRPr="00496867">
        <w:rPr>
          <w:rFonts w:cs="Calibri"/>
          <w:iCs/>
          <w:color w:val="000000"/>
          <w:lang w:val="el-GR"/>
        </w:rPr>
        <w:t>.</w:t>
      </w:r>
    </w:p>
    <w:p w14:paraId="09C52490" w14:textId="77777777" w:rsidR="00845790" w:rsidRPr="00130BC4" w:rsidRDefault="00845790" w:rsidP="00130BC4">
      <w:pPr>
        <w:autoSpaceDE w:val="0"/>
        <w:autoSpaceDN w:val="0"/>
        <w:adjustRightInd w:val="0"/>
        <w:ind w:left="567"/>
        <w:jc w:val="both"/>
        <w:rPr>
          <w:rFonts w:cs="Calibri"/>
          <w:iCs/>
          <w:color w:val="000000"/>
          <w:lang w:val="el-GR"/>
        </w:rPr>
      </w:pPr>
    </w:p>
    <w:p w14:paraId="6B186F0B" w14:textId="77777777" w:rsidR="00845790" w:rsidRPr="00496867" w:rsidRDefault="00845790" w:rsidP="002D7E01">
      <w:pPr>
        <w:autoSpaceDE w:val="0"/>
        <w:autoSpaceDN w:val="0"/>
        <w:adjustRightInd w:val="0"/>
        <w:spacing w:after="0" w:line="240" w:lineRule="auto"/>
        <w:jc w:val="both"/>
        <w:rPr>
          <w:rFonts w:eastAsia="TimesNewRomanPSMT" w:cs="Calibri"/>
          <w:b/>
          <w:i/>
          <w:lang w:val="el-GR"/>
        </w:rPr>
      </w:pPr>
      <w:r w:rsidRPr="00496867">
        <w:rPr>
          <w:rFonts w:eastAsia="TimesNewRomanPSMT" w:cs="Calibri"/>
          <w:b/>
          <w:i/>
          <w:lang w:val="el-GR"/>
        </w:rPr>
        <w:t>γ)   Κατά περίπτωση, περιγραφή της συμβολής των ΕΔΕΤ σε νέες σχετικές ειδικές για κάθε χώρα συστάσεις.</w:t>
      </w:r>
    </w:p>
    <w:p w14:paraId="2368E4D2" w14:textId="77777777" w:rsidR="00496867" w:rsidRPr="00496867" w:rsidRDefault="00496867" w:rsidP="00496867">
      <w:pPr>
        <w:autoSpaceDE w:val="0"/>
        <w:autoSpaceDN w:val="0"/>
        <w:adjustRightInd w:val="0"/>
        <w:spacing w:after="0" w:line="240" w:lineRule="auto"/>
        <w:jc w:val="both"/>
        <w:rPr>
          <w:rFonts w:eastAsia="TimesNewRomanPSMT" w:cs="Calibri"/>
          <w:lang w:val="el-GR"/>
        </w:rPr>
      </w:pPr>
    </w:p>
    <w:p w14:paraId="0A1F0E74" w14:textId="062679CD" w:rsidR="00496867" w:rsidRPr="00496867" w:rsidRDefault="00496867" w:rsidP="00496867">
      <w:pPr>
        <w:jc w:val="both"/>
        <w:rPr>
          <w:rFonts w:cs="Calibri"/>
          <w:iCs/>
          <w:color w:val="000000"/>
          <w:lang w:val="el-GR"/>
        </w:rPr>
      </w:pPr>
      <w:r w:rsidRPr="00496867">
        <w:rPr>
          <w:rFonts w:cs="Calibri"/>
          <w:iCs/>
          <w:color w:val="000000"/>
          <w:lang w:val="el-GR"/>
        </w:rPr>
        <w:t xml:space="preserve">Σε σχέση με τις </w:t>
      </w:r>
      <w:r w:rsidRPr="00496867">
        <w:rPr>
          <w:rFonts w:cs="Calibri"/>
          <w:b/>
          <w:iCs/>
          <w:color w:val="000000"/>
          <w:lang w:val="el-GR"/>
        </w:rPr>
        <w:t>ειδικές συστάσεις του Συμβουλίου για την Κύπρο του Ιουλίου του 2016</w:t>
      </w:r>
      <w:r w:rsidRPr="00496867">
        <w:rPr>
          <w:rFonts w:cs="Calibri"/>
          <w:iCs/>
          <w:color w:val="000000"/>
          <w:lang w:val="el-GR"/>
        </w:rPr>
        <w:t xml:space="preserve">, οι δράσεις των ΕΔΕΤ βρίσκουν εφαρμογή και </w:t>
      </w:r>
      <w:r w:rsidRPr="00496867">
        <w:rPr>
          <w:rFonts w:cs="Calibri"/>
          <w:b/>
          <w:iCs/>
          <w:color w:val="000000"/>
          <w:lang w:val="el-GR"/>
        </w:rPr>
        <w:t xml:space="preserve">συμβάλουν στη Σύσταση Χώρας 1 (ΣΧ 1) </w:t>
      </w:r>
      <w:r w:rsidRPr="00496867">
        <w:rPr>
          <w:rFonts w:cs="Calibri"/>
          <w:iCs/>
          <w:color w:val="000000"/>
          <w:lang w:val="el-GR"/>
        </w:rPr>
        <w:t xml:space="preserve">όσον αφορά στην ανάγκη οριζόντιας μεταρρύθμισης της δημόσιας διοίκησης και </w:t>
      </w:r>
      <w:r w:rsidR="00A62770">
        <w:rPr>
          <w:rFonts w:cs="Calibri"/>
          <w:iCs/>
          <w:color w:val="000000"/>
          <w:lang w:val="el-GR"/>
        </w:rPr>
        <w:t xml:space="preserve">της </w:t>
      </w:r>
      <w:r w:rsidRPr="00496867">
        <w:rPr>
          <w:rFonts w:cs="Calibri"/>
          <w:iCs/>
          <w:color w:val="000000"/>
          <w:lang w:val="el-GR"/>
        </w:rPr>
        <w:t>τοπικής αυτοδιοίκησης,</w:t>
      </w:r>
      <w:r w:rsidRPr="00496867">
        <w:rPr>
          <w:rFonts w:cs="Calibri"/>
          <w:b/>
          <w:iCs/>
          <w:color w:val="000000"/>
          <w:lang w:val="el-GR"/>
        </w:rPr>
        <w:t xml:space="preserve"> στη Σύσταση Χώρας 4 (ΣΧ 4)</w:t>
      </w:r>
      <w:r w:rsidRPr="00496867">
        <w:rPr>
          <w:rFonts w:cs="Calibri"/>
          <w:iCs/>
          <w:color w:val="000000"/>
          <w:lang w:val="el-GR"/>
        </w:rPr>
        <w:t xml:space="preserve"> όσον αφορά στην ανάγκη βελτίωσης της πρόσβασης των ΜΜΕ σε </w:t>
      </w:r>
      <w:r w:rsidR="001C7A4A" w:rsidRPr="00496867">
        <w:rPr>
          <w:rFonts w:cs="Calibri"/>
          <w:iCs/>
          <w:color w:val="000000"/>
          <w:lang w:val="el-GR"/>
        </w:rPr>
        <w:t>χρηματοδοτήσεις</w:t>
      </w:r>
      <w:r w:rsidRPr="00496867">
        <w:rPr>
          <w:rFonts w:cs="Calibri"/>
          <w:iCs/>
          <w:color w:val="000000"/>
          <w:lang w:val="el-GR"/>
        </w:rPr>
        <w:t xml:space="preserve"> </w:t>
      </w:r>
      <w:r w:rsidRPr="00496867">
        <w:rPr>
          <w:rFonts w:cs="Calibri"/>
          <w:b/>
          <w:iCs/>
          <w:color w:val="000000"/>
          <w:lang w:val="el-GR"/>
        </w:rPr>
        <w:t>και στη Σύσταση Χώρας 5 (ΣΧ 5)</w:t>
      </w:r>
      <w:r w:rsidRPr="00496867">
        <w:rPr>
          <w:rFonts w:cs="Calibri"/>
          <w:iCs/>
          <w:color w:val="000000"/>
          <w:lang w:val="el-GR"/>
        </w:rPr>
        <w:t xml:space="preserve"> στο κομμάτι που αφορά </w:t>
      </w:r>
      <w:r w:rsidR="00A62770">
        <w:rPr>
          <w:rFonts w:cs="Calibri"/>
          <w:iCs/>
          <w:color w:val="000000"/>
          <w:lang w:val="el-GR"/>
        </w:rPr>
        <w:t>σ</w:t>
      </w:r>
      <w:r w:rsidRPr="00496867">
        <w:rPr>
          <w:rFonts w:cs="Calibri"/>
          <w:iCs/>
          <w:color w:val="000000"/>
          <w:lang w:val="el-GR"/>
        </w:rPr>
        <w:t xml:space="preserve">την ενίσχυση της ικανότητας των δημόσιων υπηρεσιών απασχόλησης και τη συνδρομή τους στους μακροχρόνια άνεργους. </w:t>
      </w:r>
    </w:p>
    <w:p w14:paraId="647A3A86" w14:textId="64A97B47" w:rsidR="00496867" w:rsidRPr="00496867" w:rsidRDefault="00496867" w:rsidP="00496867">
      <w:pPr>
        <w:jc w:val="both"/>
        <w:rPr>
          <w:rFonts w:cs="Calibri"/>
          <w:iCs/>
          <w:lang w:val="el-GR"/>
        </w:rPr>
      </w:pPr>
      <w:r w:rsidRPr="00496867">
        <w:rPr>
          <w:rFonts w:cs="Calibri"/>
          <w:iCs/>
          <w:lang w:val="el-GR"/>
        </w:rPr>
        <w:lastRenderedPageBreak/>
        <w:t xml:space="preserve">Πιο συγκεκριμένα, η μεταρρύθμιση της δημόσιας διοίκησης στην Κύπρο υποστηρίζεται μέσω του </w:t>
      </w:r>
      <w:r w:rsidRPr="00496867">
        <w:rPr>
          <w:rFonts w:cs="Calibri"/>
          <w:b/>
          <w:iCs/>
          <w:lang w:val="el-GR"/>
        </w:rPr>
        <w:t>ΕΚΤ</w:t>
      </w:r>
      <w:r w:rsidRPr="00496867">
        <w:rPr>
          <w:rFonts w:cs="Calibri"/>
          <w:iCs/>
          <w:lang w:val="el-GR"/>
        </w:rPr>
        <w:t>, σε ζητήματα που αφορούν στην ενίσχυση της θεσμικής ικανότητας δημόσιων αρχών</w:t>
      </w:r>
      <w:r w:rsidR="00A62770">
        <w:rPr>
          <w:rFonts w:cs="Calibri"/>
          <w:iCs/>
          <w:lang w:val="el-GR"/>
        </w:rPr>
        <w:t>,</w:t>
      </w:r>
      <w:r w:rsidRPr="00496867">
        <w:rPr>
          <w:rFonts w:cs="Calibri"/>
          <w:iCs/>
          <w:lang w:val="el-GR"/>
        </w:rPr>
        <w:t xml:space="preserve"> της αποτελεσματικότητας της δημόσιας διοίκησης και σε θέματα διάγνωσης αναγκών μεταρρύθμισης μέσω εξειδικευμένων μελετών και ανάπτυξης ανθρώπινων πόρων. Μέχρι </w:t>
      </w:r>
      <w:r w:rsidR="00A62770">
        <w:rPr>
          <w:rFonts w:cs="Calibri"/>
          <w:iCs/>
          <w:lang w:val="el-GR"/>
        </w:rPr>
        <w:t>τις</w:t>
      </w:r>
      <w:r w:rsidRPr="00496867">
        <w:rPr>
          <w:rFonts w:cs="Calibri"/>
          <w:iCs/>
          <w:lang w:val="el-GR"/>
        </w:rPr>
        <w:t xml:space="preserve"> 31/12/2016 δεν κατέστη εφικτή η ενεργοποίηση δράσεων μέσω του ΕΚΤ, που να συμβάλουν στην κάλυψη της ΣΧ1. Ωστόσο, έμμεση συμβολή προκύπτει τελικά, καθώς υλοποιείται ήδη από το 2014 με αξιόλογα αποτελέσματα και τη στήριξη εθνικών πόρων το έργο </w:t>
      </w:r>
      <w:r w:rsidRPr="00BD6BD7">
        <w:rPr>
          <w:rFonts w:cs="Calibri"/>
          <w:iCs/>
          <w:lang w:val="el-GR"/>
        </w:rPr>
        <w:t>«Δημιουργία και Λειτουργία Υπηρεσίας Διαχείρισης Επιδομάτων Πρόνοιας - ΥΔΕΠ», που εντάσσεται στο πλαίσιο της γενικότερης μεταρρύθμισης του συστήματος κοινωνικής ευημερίας. Το έργο αναμένεται να ενταχθεί στο ΕΠ «Απασχόληση, Ανθρώπινοι Πόροι και Κοινωνική Συνοχή» εντός του 2017. Επίσης, έχει δρομολογηθεί η υλοποίηση του έργου «Μαθησιακή υποστήριξη της εφαρμογής διοικητικών αλλαγών στη δημόσια διοίκηση», το οποίο θα ξεκινήσει εντός του 2017 και αφορά στην αναβάθμιση γνώσεων δημόσιων λειτουργών για την εφαρμογή</w:t>
      </w:r>
      <w:r w:rsidRPr="00496867">
        <w:rPr>
          <w:rFonts w:cs="Calibri"/>
          <w:iCs/>
          <w:lang w:val="el-GR"/>
        </w:rPr>
        <w:t xml:space="preserve"> διοικητικών αλλαγών υπό τη μορφή κατάρτισης.</w:t>
      </w:r>
      <w:r w:rsidRPr="00496867">
        <w:rPr>
          <w:lang w:val="el-GR"/>
        </w:rPr>
        <w:t xml:space="preserve"> </w:t>
      </w:r>
      <w:r w:rsidRPr="00496867">
        <w:rPr>
          <w:rFonts w:cs="Calibri"/>
          <w:iCs/>
          <w:lang w:val="el-GR"/>
        </w:rPr>
        <w:t xml:space="preserve">Το </w:t>
      </w:r>
      <w:r w:rsidR="00BD6BD7">
        <w:rPr>
          <w:rFonts w:cs="Calibri"/>
          <w:iCs/>
          <w:lang w:val="el-GR"/>
        </w:rPr>
        <w:t>έ</w:t>
      </w:r>
      <w:r w:rsidRPr="00496867">
        <w:rPr>
          <w:rFonts w:cs="Calibri"/>
          <w:iCs/>
          <w:lang w:val="el-GR"/>
        </w:rPr>
        <w:t>ργο στοχεύει αφενός στην ενίσχυση των γνώσεων και των δεξιοτήτων του προσωπικού και αφετέρου στην εισαγωγή διαδικασιών και εργαλείων στους οργανισμούς, για την εφαρμογή διοικητικών αλλαγών που καθιστούν τη δημόσια διοίκηση πιο σύγχρονη και πιο αποτελεσματική.</w:t>
      </w:r>
    </w:p>
    <w:p w14:paraId="40242456" w14:textId="11DE6E3B" w:rsidR="00496867" w:rsidRPr="00496867" w:rsidRDefault="00496867" w:rsidP="00496867">
      <w:pPr>
        <w:jc w:val="both"/>
        <w:rPr>
          <w:rFonts w:cs="Calibri"/>
          <w:iCs/>
          <w:color w:val="000000"/>
          <w:lang w:val="el-GR"/>
        </w:rPr>
      </w:pPr>
      <w:r w:rsidRPr="00496867">
        <w:rPr>
          <w:rFonts w:cs="Calibri"/>
          <w:iCs/>
          <w:color w:val="000000"/>
          <w:lang w:val="el-GR"/>
        </w:rPr>
        <w:t xml:space="preserve">Όσον αφορά στη βελτίωση της πρόσβασης των ΜΜΕ σε χρηματοδότηση, το </w:t>
      </w:r>
      <w:r w:rsidRPr="00496867">
        <w:rPr>
          <w:rFonts w:cs="Calibri"/>
          <w:b/>
          <w:iCs/>
          <w:color w:val="000000"/>
          <w:lang w:val="el-GR"/>
        </w:rPr>
        <w:t>ΕΤΠΑ</w:t>
      </w:r>
      <w:r w:rsidRPr="00496867">
        <w:rPr>
          <w:rFonts w:cs="Calibri"/>
          <w:iCs/>
          <w:color w:val="000000"/>
          <w:lang w:val="el-GR"/>
        </w:rPr>
        <w:t xml:space="preserve"> συνέβαλε μέσω της προκήρυξης δράσεων ενίσχυσης της επιχειρηματικότητας συγκεκριμένων ομάδων του πληθυσμού (γυναικεία και νεανική), της ανταγωνιστικότητας των </w:t>
      </w:r>
      <w:r w:rsidR="00BD6BD7">
        <w:rPr>
          <w:rFonts w:cs="Calibri"/>
          <w:iCs/>
          <w:color w:val="000000"/>
          <w:lang w:val="el-GR"/>
        </w:rPr>
        <w:t>ΜΜΕ</w:t>
      </w:r>
      <w:r w:rsidRPr="00496867">
        <w:rPr>
          <w:rFonts w:cs="Calibri"/>
          <w:iCs/>
          <w:color w:val="000000"/>
          <w:lang w:val="el-GR"/>
        </w:rPr>
        <w:t xml:space="preserve"> του μεταποιητικού τομέα</w:t>
      </w:r>
      <w:r w:rsidR="0083005E">
        <w:rPr>
          <w:rFonts w:cs="Calibri"/>
          <w:iCs/>
          <w:color w:val="000000"/>
          <w:lang w:val="el-GR"/>
        </w:rPr>
        <w:t>, καθώς</w:t>
      </w:r>
      <w:r w:rsidRPr="00496867">
        <w:rPr>
          <w:rFonts w:cs="Calibri"/>
          <w:iCs/>
          <w:color w:val="000000"/>
          <w:lang w:val="el-GR"/>
        </w:rPr>
        <w:t xml:space="preserve"> και της επιχειρηματικής καινοτομίας. Ο χαμηλός βαθμός ωρίμανσης των δράσεων μέχρι </w:t>
      </w:r>
      <w:r w:rsidR="0083005E">
        <w:rPr>
          <w:rFonts w:cs="Calibri"/>
          <w:iCs/>
          <w:color w:val="000000"/>
          <w:lang w:val="el-GR"/>
        </w:rPr>
        <w:t>τις</w:t>
      </w:r>
      <w:r w:rsidRPr="00496867">
        <w:rPr>
          <w:rFonts w:cs="Calibri"/>
          <w:iCs/>
          <w:color w:val="000000"/>
          <w:lang w:val="el-GR"/>
        </w:rPr>
        <w:t xml:space="preserve"> 31/12/2016 δεν επιτρέπει την εκτίμηση του βαθμού συμβολής των </w:t>
      </w:r>
      <w:r w:rsidR="0083005E">
        <w:rPr>
          <w:rFonts w:cs="Calibri"/>
          <w:iCs/>
          <w:color w:val="000000"/>
          <w:lang w:val="el-GR"/>
        </w:rPr>
        <w:t xml:space="preserve">προαναφερθέντων </w:t>
      </w:r>
      <w:r w:rsidRPr="00496867">
        <w:rPr>
          <w:rFonts w:cs="Calibri"/>
          <w:iCs/>
          <w:color w:val="000000"/>
          <w:lang w:val="el-GR"/>
        </w:rPr>
        <w:t>δράσεων στην υλοποίηση της ΣΧ4.</w:t>
      </w:r>
    </w:p>
    <w:p w14:paraId="2A2FDE0A" w14:textId="18AF889B" w:rsidR="00496867" w:rsidRPr="00496867" w:rsidRDefault="00496867" w:rsidP="00130BC4">
      <w:pPr>
        <w:jc w:val="both"/>
        <w:rPr>
          <w:lang w:val="el-GR"/>
        </w:rPr>
      </w:pPr>
      <w:r w:rsidRPr="00496867">
        <w:rPr>
          <w:rFonts w:cs="Calibri"/>
          <w:iCs/>
          <w:color w:val="000000"/>
          <w:lang w:val="el-GR"/>
        </w:rPr>
        <w:t xml:space="preserve">Σημαντική αναμένεται </w:t>
      </w:r>
      <w:r w:rsidR="0083005E">
        <w:rPr>
          <w:rFonts w:cs="Calibri"/>
          <w:iCs/>
          <w:color w:val="000000"/>
          <w:lang w:val="el-GR"/>
        </w:rPr>
        <w:t xml:space="preserve">να είναι </w:t>
      </w:r>
      <w:r w:rsidRPr="00496867">
        <w:rPr>
          <w:rFonts w:cs="Calibri"/>
          <w:iCs/>
          <w:color w:val="000000"/>
          <w:lang w:val="el-GR"/>
        </w:rPr>
        <w:t xml:space="preserve"> η συμβολή του ΕΤΠΑ </w:t>
      </w:r>
      <w:r w:rsidR="0083005E">
        <w:rPr>
          <w:rFonts w:cs="Calibri"/>
          <w:iCs/>
          <w:color w:val="000000"/>
          <w:lang w:val="el-GR"/>
        </w:rPr>
        <w:t xml:space="preserve">και </w:t>
      </w:r>
      <w:r w:rsidRPr="00496867">
        <w:rPr>
          <w:rFonts w:cs="Calibri"/>
          <w:iCs/>
          <w:color w:val="000000"/>
          <w:lang w:val="el-GR"/>
        </w:rPr>
        <w:t xml:space="preserve">στη ΣΧ4 </w:t>
      </w:r>
      <w:r w:rsidR="0083005E">
        <w:rPr>
          <w:rFonts w:cs="Calibri"/>
          <w:iCs/>
          <w:color w:val="000000"/>
          <w:lang w:val="el-GR"/>
        </w:rPr>
        <w:t>μέσω</w:t>
      </w:r>
      <w:r w:rsidRPr="00496867">
        <w:rPr>
          <w:rFonts w:cs="Calibri"/>
          <w:iCs/>
          <w:color w:val="000000"/>
          <w:lang w:val="el-GR"/>
        </w:rPr>
        <w:t xml:space="preserve"> τη</w:t>
      </w:r>
      <w:r w:rsidR="0083005E">
        <w:rPr>
          <w:rFonts w:cs="Calibri"/>
          <w:iCs/>
          <w:color w:val="000000"/>
          <w:lang w:val="el-GR"/>
        </w:rPr>
        <w:t>ς</w:t>
      </w:r>
      <w:r w:rsidRPr="00496867">
        <w:rPr>
          <w:rFonts w:cs="Calibri"/>
          <w:iCs/>
          <w:color w:val="000000"/>
          <w:lang w:val="el-GR"/>
        </w:rPr>
        <w:t xml:space="preserve"> χρήση</w:t>
      </w:r>
      <w:r w:rsidR="0083005E">
        <w:rPr>
          <w:rFonts w:cs="Calibri"/>
          <w:iCs/>
          <w:color w:val="000000"/>
          <w:lang w:val="el-GR"/>
        </w:rPr>
        <w:t>ς</w:t>
      </w:r>
      <w:r w:rsidRPr="00496867">
        <w:rPr>
          <w:rFonts w:cs="Calibri"/>
          <w:iCs/>
          <w:color w:val="000000"/>
          <w:lang w:val="el-GR"/>
        </w:rPr>
        <w:t xml:space="preserve"> </w:t>
      </w:r>
      <w:r w:rsidR="0083005E">
        <w:rPr>
          <w:rFonts w:cs="Calibri"/>
          <w:iCs/>
          <w:color w:val="000000"/>
          <w:lang w:val="el-GR"/>
        </w:rPr>
        <w:t>Μ</w:t>
      </w:r>
      <w:r w:rsidRPr="00496867">
        <w:rPr>
          <w:rFonts w:cs="Calibri"/>
          <w:iCs/>
          <w:color w:val="000000"/>
          <w:lang w:val="el-GR"/>
        </w:rPr>
        <w:t xml:space="preserve">έσων </w:t>
      </w:r>
      <w:r w:rsidR="0083005E">
        <w:rPr>
          <w:rFonts w:cs="Calibri"/>
          <w:iCs/>
          <w:color w:val="000000"/>
          <w:lang w:val="el-GR"/>
        </w:rPr>
        <w:t>Χ</w:t>
      </w:r>
      <w:r w:rsidRPr="00496867">
        <w:rPr>
          <w:rFonts w:cs="Calibri"/>
          <w:iCs/>
          <w:color w:val="000000"/>
          <w:lang w:val="el-GR"/>
        </w:rPr>
        <w:t xml:space="preserve">ρηματοδοτικής </w:t>
      </w:r>
      <w:r w:rsidR="0083005E">
        <w:rPr>
          <w:rFonts w:cs="Calibri"/>
          <w:iCs/>
          <w:color w:val="000000"/>
          <w:lang w:val="el-GR"/>
        </w:rPr>
        <w:t>Τ</w:t>
      </w:r>
      <w:r w:rsidRPr="00496867">
        <w:rPr>
          <w:rFonts w:cs="Calibri"/>
          <w:iCs/>
          <w:color w:val="000000"/>
          <w:lang w:val="el-GR"/>
        </w:rPr>
        <w:t>εχνικής</w:t>
      </w:r>
      <w:r w:rsidR="0083005E">
        <w:rPr>
          <w:rFonts w:cs="Calibri"/>
          <w:iCs/>
          <w:color w:val="000000"/>
          <w:lang w:val="el-GR"/>
        </w:rPr>
        <w:t xml:space="preserve"> (ΜΧΤ)</w:t>
      </w:r>
      <w:r w:rsidRPr="00496867">
        <w:rPr>
          <w:rFonts w:cs="Calibri"/>
          <w:iCs/>
          <w:color w:val="000000"/>
          <w:lang w:val="el-GR"/>
        </w:rPr>
        <w:t xml:space="preserve"> για τη χρηματοδότηση ΜΜΕ, με βάση τα πορίσματα της σχετικής μελέτης </w:t>
      </w:r>
      <w:r w:rsidR="0083005E">
        <w:rPr>
          <w:rFonts w:cs="Calibri"/>
          <w:iCs/>
          <w:color w:val="000000"/>
          <w:lang w:val="el-GR"/>
        </w:rPr>
        <w:t>για την Εκ των Προτέρων</w:t>
      </w:r>
      <w:r w:rsidRPr="00496867">
        <w:rPr>
          <w:rFonts w:cs="Calibri"/>
          <w:iCs/>
          <w:color w:val="000000"/>
          <w:lang w:val="el-GR"/>
        </w:rPr>
        <w:t xml:space="preserve"> </w:t>
      </w:r>
      <w:r w:rsidR="0083005E">
        <w:rPr>
          <w:rFonts w:cs="Calibri"/>
          <w:iCs/>
          <w:color w:val="000000"/>
          <w:lang w:val="el-GR"/>
        </w:rPr>
        <w:t>Α</w:t>
      </w:r>
      <w:r w:rsidRPr="00496867">
        <w:rPr>
          <w:rFonts w:cs="Calibri"/>
          <w:iCs/>
          <w:color w:val="000000"/>
          <w:lang w:val="el-GR"/>
        </w:rPr>
        <w:t>ξιολόγηση</w:t>
      </w:r>
      <w:r w:rsidR="0083005E">
        <w:rPr>
          <w:rFonts w:cs="Calibri"/>
          <w:iCs/>
          <w:color w:val="000000"/>
          <w:lang w:val="el-GR"/>
        </w:rPr>
        <w:t xml:space="preserve"> της χρήσης ΜΧΤ, η οποία κατέδειξε την ύπαρξη</w:t>
      </w:r>
      <w:r w:rsidRPr="00496867">
        <w:rPr>
          <w:rFonts w:cs="Calibri"/>
          <w:iCs/>
          <w:color w:val="000000"/>
          <w:lang w:val="el-GR"/>
        </w:rPr>
        <w:t xml:space="preserve"> χρηματοδοτικού κενού στην αγορά.</w:t>
      </w:r>
      <w:r w:rsidR="00063920">
        <w:rPr>
          <w:rFonts w:cs="Calibri"/>
          <w:iCs/>
          <w:color w:val="000000"/>
          <w:lang w:val="el-GR"/>
        </w:rPr>
        <w:t xml:space="preserve"> Στη ΣΧ4 συμβάλει επίσης και</w:t>
      </w:r>
      <w:r w:rsidRPr="00496867">
        <w:rPr>
          <w:lang w:val="el-GR"/>
        </w:rPr>
        <w:t xml:space="preserve"> το </w:t>
      </w:r>
      <w:r w:rsidRPr="00063920">
        <w:rPr>
          <w:bCs/>
          <w:lang w:val="el-GR"/>
        </w:rPr>
        <w:t>ΕΓΤΑΑ</w:t>
      </w:r>
      <w:r w:rsidRPr="00496867">
        <w:rPr>
          <w:lang w:val="el-GR"/>
        </w:rPr>
        <w:t xml:space="preserve">, </w:t>
      </w:r>
      <w:r w:rsidR="00063920">
        <w:rPr>
          <w:lang w:val="el-GR"/>
        </w:rPr>
        <w:t xml:space="preserve">μέσα </w:t>
      </w:r>
      <w:r w:rsidRPr="00496867">
        <w:rPr>
          <w:lang w:val="el-GR"/>
        </w:rPr>
        <w:t xml:space="preserve">από τα επενδυτικά Μέτρα του ΠΑΑ και τα σχετικά παρεχόμενα </w:t>
      </w:r>
      <w:r w:rsidRPr="00063920">
        <w:rPr>
          <w:bCs/>
          <w:lang w:val="el-GR"/>
        </w:rPr>
        <w:t>επενδυτικά κίνητρα</w:t>
      </w:r>
      <w:r w:rsidRPr="00496867">
        <w:rPr>
          <w:lang w:val="el-GR"/>
        </w:rPr>
        <w:t xml:space="preserve">. Συγκεκριμένα, ως τέτοια αναγνωρίζονται τα Καθεστώτα 3.2 «Ενίσχυση για δραστηριότητες ενημέρωσης και προώθησης που εφαρμόζονται από ομάδες παραγωγών στην εσωτερική αγορά», 4.2 «Επενδύσεις που αφορούν στη μεταποίηση, εμπορία και ανάπτυξη γεωργικών προϊόντων», το Μέτρο 9 «Σύσταση Ομάδων και Οργανώσεων Παραγωγών» και το Καθεστώς 19.2 «Στήριξη για την υλοποίηση πράξεων στο πλαίσιο της στρατηγικής τοπικής ανάπτυξης με πρωτοβουλία τοπικών κοινοτήτων», όπως αυτό εξειδικεύεται ανά Τοπικό Πρόγραμμα στο σκέλος στήριξης των μικρομεσαίων επιχειρήσεων. </w:t>
      </w:r>
    </w:p>
    <w:p w14:paraId="0965E720" w14:textId="193735C6" w:rsidR="00496867" w:rsidRPr="00D71449" w:rsidRDefault="00496867" w:rsidP="00130BC4">
      <w:pPr>
        <w:jc w:val="both"/>
        <w:rPr>
          <w:lang w:val="el-GR"/>
        </w:rPr>
      </w:pPr>
      <w:r w:rsidRPr="00496867">
        <w:rPr>
          <w:lang w:val="el-GR"/>
        </w:rPr>
        <w:t>Μ</w:t>
      </w:r>
      <w:r w:rsidR="005D4EDA">
        <w:rPr>
          <w:lang w:val="el-GR"/>
        </w:rPr>
        <w:t>έχρι τις 31/12/16</w:t>
      </w:r>
      <w:r w:rsidRPr="00496867">
        <w:rPr>
          <w:lang w:val="el-GR"/>
        </w:rPr>
        <w:t xml:space="preserve"> στο Καθεστώς 3.2 </w:t>
      </w:r>
      <w:r w:rsidR="005D4EDA">
        <w:rPr>
          <w:lang w:val="el-GR"/>
        </w:rPr>
        <w:t>είχαν</w:t>
      </w:r>
      <w:r w:rsidRPr="00496867">
        <w:rPr>
          <w:lang w:val="el-GR"/>
        </w:rPr>
        <w:t xml:space="preserve"> παραληφθεί 4 αιτήσεις για ΠΟΠ/ΠΓΕ και βιολογικά προϊόντα, οι οποίες βρίσκονται στο στάδιο της αξιολόγησης</w:t>
      </w:r>
      <w:r w:rsidR="005D4EDA">
        <w:rPr>
          <w:lang w:val="el-GR"/>
        </w:rPr>
        <w:t xml:space="preserve">, </w:t>
      </w:r>
      <w:r w:rsidR="009033AB">
        <w:rPr>
          <w:lang w:val="el-GR"/>
        </w:rPr>
        <w:t xml:space="preserve">ενώ </w:t>
      </w:r>
      <w:r w:rsidR="005D4EDA">
        <w:rPr>
          <w:lang w:val="el-GR"/>
        </w:rPr>
        <w:t>σ</w:t>
      </w:r>
      <w:r w:rsidRPr="00496867">
        <w:rPr>
          <w:lang w:val="el-GR"/>
        </w:rPr>
        <w:t xml:space="preserve">το Καθεστώς 4.2 </w:t>
      </w:r>
      <w:r w:rsidR="005D4EDA">
        <w:rPr>
          <w:lang w:val="el-GR"/>
        </w:rPr>
        <w:t xml:space="preserve">βρίσκονταν </w:t>
      </w:r>
      <w:r w:rsidRPr="00496867">
        <w:rPr>
          <w:lang w:val="el-GR"/>
        </w:rPr>
        <w:t xml:space="preserve">υπό αξιολόγηση 204 αιτήσεις δικαιούμενης χορηγίας </w:t>
      </w:r>
      <w:r w:rsidR="009033AB">
        <w:rPr>
          <w:lang w:val="el-GR"/>
        </w:rPr>
        <w:t>€</w:t>
      </w:r>
      <w:r w:rsidRPr="00496867">
        <w:rPr>
          <w:lang w:val="el-GR"/>
        </w:rPr>
        <w:t xml:space="preserve">30,5 εκ. περίπου. Οι μεγαλύτερες συγκεντρώσεις αριθμού αιτήσεων και ύψους αιτούμενης/δικαιούμενης χορηγίας παρουσιάζονται στις δραστηριότητες του τεμαχισμού – τυποποίησης κρέατος και παραγωγής κρεατοπαρασκευασμάτων, της παραγωγής γαλακτοκομικών προϊόντων και  της εμπορίας και μεταποίησης οπωροκηπευτικών. Στο πλαίσιο του εν λόγω Καθεστώτος χρηματοδοτούνται επίσης και μεταφερόμενα επενδυτικά σχέδια από την προγραμματική περίοδο 2007-2013. Εντός του 2016 ολοκληρώθηκαν 2 επενδυτικά σχέδια και πραγματοποιήθηκαν πληρωμές ύψους </w:t>
      </w:r>
      <w:r w:rsidR="009033AB">
        <w:rPr>
          <w:lang w:val="el-GR"/>
        </w:rPr>
        <w:lastRenderedPageBreak/>
        <w:t>€</w:t>
      </w:r>
      <w:r w:rsidRPr="00496867">
        <w:rPr>
          <w:lang w:val="el-GR"/>
        </w:rPr>
        <w:t xml:space="preserve">152.905. </w:t>
      </w:r>
      <w:r w:rsidR="00C603DA">
        <w:rPr>
          <w:lang w:val="el-GR"/>
        </w:rPr>
        <w:t>Τ</w:t>
      </w:r>
      <w:r w:rsidRPr="00496867">
        <w:rPr>
          <w:lang w:val="el-GR"/>
        </w:rPr>
        <w:t xml:space="preserve">ο Μέτρο 9 δεν έχει ακόμη ενεργοποιηθεί, ενώ τα Τοπικά Προγράμματα </w:t>
      </w:r>
      <w:r w:rsidRPr="00496867">
        <w:t>LEADER</w:t>
      </w:r>
      <w:r w:rsidRPr="00496867">
        <w:rPr>
          <w:lang w:val="el-GR"/>
        </w:rPr>
        <w:t xml:space="preserve"> δεν έχουν ακόμη ενεργοποιήσει τις προσκλήσεις για τις επενδύσεις </w:t>
      </w:r>
      <w:r w:rsidR="00C603DA">
        <w:rPr>
          <w:lang w:val="el-GR"/>
        </w:rPr>
        <w:t>ΜΜΕ</w:t>
      </w:r>
      <w:r w:rsidRPr="00496867">
        <w:rPr>
          <w:lang w:val="el-GR"/>
        </w:rPr>
        <w:t>.</w:t>
      </w:r>
    </w:p>
    <w:p w14:paraId="256060A9" w14:textId="2807008C" w:rsidR="00970BB1" w:rsidRPr="001C7A4A" w:rsidRDefault="00970BB1" w:rsidP="00130BC4">
      <w:pPr>
        <w:jc w:val="both"/>
        <w:rPr>
          <w:rFonts w:ascii="Arial" w:hAnsi="Arial" w:cs="Arial"/>
          <w:sz w:val="16"/>
          <w:szCs w:val="16"/>
          <w:shd w:val="clear" w:color="auto" w:fill="F7F7F7"/>
          <w:lang w:val="el-GR"/>
        </w:rPr>
      </w:pPr>
      <w:r w:rsidRPr="001C7A4A">
        <w:rPr>
          <w:rFonts w:cs="Calibri"/>
          <w:iCs/>
          <w:lang w:val="el-GR"/>
        </w:rPr>
        <w:t>Το ζήτημα της ενίσχυσης της ικανότητας των δημόσιων υπηρεσιών απασχόλησης</w:t>
      </w:r>
      <w:r w:rsidR="00FB2432">
        <w:rPr>
          <w:rFonts w:cs="Calibri"/>
          <w:iCs/>
          <w:lang w:val="el-GR"/>
        </w:rPr>
        <w:t>,</w:t>
      </w:r>
      <w:r w:rsidRPr="001C7A4A">
        <w:rPr>
          <w:rFonts w:cs="Calibri"/>
          <w:iCs/>
          <w:lang w:val="el-GR"/>
        </w:rPr>
        <w:t xml:space="preserve"> της συνδρομής τους στους μακροχρόνια ανέργους και της βελτίωσης της προσέγγισης των μη καταγεγραμμένων ανέργων </w:t>
      </w:r>
      <w:r w:rsidRPr="001C7A4A">
        <w:rPr>
          <w:lang w:val="el-GR"/>
        </w:rPr>
        <w:t xml:space="preserve">αντιμετωπίζεται με τη συμβολή του </w:t>
      </w:r>
      <w:r w:rsidRPr="001C7A4A">
        <w:rPr>
          <w:b/>
          <w:bCs/>
          <w:lang w:val="el-GR"/>
        </w:rPr>
        <w:t xml:space="preserve">ΕΚΤ, </w:t>
      </w:r>
      <w:r w:rsidRPr="001C7A4A">
        <w:rPr>
          <w:bCs/>
          <w:lang w:val="el-GR"/>
        </w:rPr>
        <w:t xml:space="preserve">το οποίο εστιάζει στον εκσυγχρονισμό και στη βελτίωση της ικανότητας εξυπηρέτησης των αρμοδίων φορέων για την </w:t>
      </w:r>
      <w:r w:rsidRPr="001C7A4A">
        <w:rPr>
          <w:rFonts w:cs="Calibri"/>
          <w:iCs/>
          <w:lang w:val="el-GR"/>
        </w:rPr>
        <w:t xml:space="preserve">απασχόληση. Ωστόσο, μέχρι τις 31/12/2016 η συμβολή του Ταμείου στην κάλυψη της ΣΧ5 περιορίστηκε στην ενεργοποίηση των δράσεων </w:t>
      </w:r>
      <w:r w:rsidRPr="00FB2432">
        <w:rPr>
          <w:rFonts w:cs="Calibri"/>
          <w:iCs/>
          <w:lang w:val="el-GR"/>
        </w:rPr>
        <w:t>«Σύμπραξη με Ιδιωτικά Γραφεία Εξευρέσεως Εργασίας για Προώθηση της Απασχόλησης» και «Λειτουργία του Δικτύου EURES στην Κύπρο», το οποίο στοχεύει στη διευκόλυνση της κινητικότητας των εργαζομένων σε χώρες της ΕΕ. Η σημαντικότερη όμως παρέμβαση διαρθρωτικού χαρακτήρα</w:t>
      </w:r>
      <w:r w:rsidR="00FB2432" w:rsidRPr="00FB2432">
        <w:rPr>
          <w:rFonts w:cs="Calibri"/>
          <w:iCs/>
          <w:lang w:val="el-GR"/>
        </w:rPr>
        <w:t xml:space="preserve"> μέσω του ΕΚΤ</w:t>
      </w:r>
      <w:r w:rsidRPr="00FB2432">
        <w:rPr>
          <w:rFonts w:cs="Calibri"/>
          <w:iCs/>
          <w:lang w:val="el-GR"/>
        </w:rPr>
        <w:t>, για την αποτελεσματικότερη αντιμετώπιση των αναγκών της αγοράς εργασίας, θεωρείται ο «</w:t>
      </w:r>
      <w:r w:rsidRPr="00FB2432">
        <w:rPr>
          <w:rFonts w:cs="Calibri"/>
          <w:bCs/>
          <w:iCs/>
          <w:lang w:val="el-GR"/>
        </w:rPr>
        <w:t xml:space="preserve">Εκσυγχρονισμός/ Ενίσχυση της Δημόσιας Υπηρεσίας Απασχόλησης» </w:t>
      </w:r>
      <w:r w:rsidRPr="001C7A4A">
        <w:rPr>
          <w:rFonts w:cs="Calibri"/>
          <w:bCs/>
          <w:iCs/>
          <w:lang w:val="el-GR"/>
        </w:rPr>
        <w:t xml:space="preserve">που θα ξεκινήσει εντός του 2017 και θα περιλαμβάνει </w:t>
      </w:r>
      <w:r w:rsidRPr="001C7A4A">
        <w:rPr>
          <w:rFonts w:cs="Calibri"/>
          <w:iCs/>
          <w:lang w:val="el-GR"/>
        </w:rPr>
        <w:t>δράσεις που αφορούν στην ενίσχυση της ΔΥΑ με εξειδικευμένο ανθρώπινο δυναμικό, την ανάπτυξη συστήματος παρακολούθησης και αξιολόγησης των ενεργητικών πολιτικών απασχόλησης, την επιμόρφωση του στελεχιακού δυναμικού, την αναμόρφωση του μηχανογραφικού συστήματος της ΔΥΑ (CPS) κ.α.</w:t>
      </w:r>
      <w:r w:rsidRPr="001C7A4A">
        <w:rPr>
          <w:rFonts w:ascii="Arial" w:hAnsi="Arial" w:cs="Arial"/>
          <w:sz w:val="16"/>
          <w:szCs w:val="16"/>
          <w:shd w:val="clear" w:color="auto" w:fill="F7F7F7"/>
          <w:lang w:val="el-GR"/>
        </w:rPr>
        <w:t xml:space="preserve"> </w:t>
      </w:r>
      <w:r w:rsidRPr="001C7A4A">
        <w:rPr>
          <w:rFonts w:ascii="Arial" w:hAnsi="Arial" w:cs="Arial"/>
          <w:sz w:val="16"/>
          <w:szCs w:val="16"/>
          <w:shd w:val="clear" w:color="auto" w:fill="F7F7F7"/>
        </w:rPr>
        <w:t> </w:t>
      </w:r>
    </w:p>
    <w:p w14:paraId="7D690969" w14:textId="77777777" w:rsidR="00845790" w:rsidRPr="00876718" w:rsidRDefault="00845790" w:rsidP="00130BC4">
      <w:pPr>
        <w:autoSpaceDE w:val="0"/>
        <w:autoSpaceDN w:val="0"/>
        <w:adjustRightInd w:val="0"/>
        <w:jc w:val="both"/>
        <w:rPr>
          <w:rFonts w:eastAsia="TimesNewRomanPSMT" w:cs="Calibri"/>
          <w:lang w:val="el-GR"/>
        </w:rPr>
      </w:pPr>
    </w:p>
    <w:p w14:paraId="419AEF11" w14:textId="77777777" w:rsidR="00845790" w:rsidRPr="00D3401D" w:rsidRDefault="00845790" w:rsidP="002D7E01">
      <w:pPr>
        <w:autoSpaceDE w:val="0"/>
        <w:autoSpaceDN w:val="0"/>
        <w:adjustRightInd w:val="0"/>
        <w:spacing w:after="0" w:line="240" w:lineRule="auto"/>
        <w:jc w:val="both"/>
        <w:rPr>
          <w:rFonts w:eastAsia="TimesNewRomanPSMT" w:cs="Calibri"/>
          <w:b/>
          <w:i/>
          <w:lang w:val="el-GR"/>
        </w:rPr>
      </w:pPr>
      <w:r w:rsidRPr="00D3401D">
        <w:rPr>
          <w:rFonts w:eastAsia="TimesNewRomanPSMT" w:cs="Calibri"/>
          <w:b/>
          <w:i/>
          <w:lang w:val="el-GR"/>
        </w:rPr>
        <w:t>δ) Κατά περίπτωση, περιγραφή του τρόπου με τον οποίο αντιμετωπίστηκαν οι αλλαγές στις αναπτυξιακές ανάγκες στο πλαίσιο των ΕΔΕΤ.</w:t>
      </w:r>
    </w:p>
    <w:p w14:paraId="6FD224A2" w14:textId="77777777" w:rsidR="00845790" w:rsidRPr="00876718" w:rsidRDefault="00845790" w:rsidP="002D7E01">
      <w:pPr>
        <w:autoSpaceDE w:val="0"/>
        <w:autoSpaceDN w:val="0"/>
        <w:adjustRightInd w:val="0"/>
        <w:spacing w:after="0" w:line="240" w:lineRule="auto"/>
        <w:jc w:val="both"/>
        <w:rPr>
          <w:rFonts w:eastAsia="TimesNewRomanPSMT" w:cs="Calibri"/>
          <w:lang w:val="el-GR"/>
        </w:rPr>
      </w:pPr>
    </w:p>
    <w:p w14:paraId="6BD4434D" w14:textId="23805690" w:rsidR="00496867" w:rsidRPr="00496867" w:rsidRDefault="00AB19E5" w:rsidP="00496867">
      <w:pPr>
        <w:jc w:val="both"/>
        <w:rPr>
          <w:rFonts w:cs="Calibri"/>
          <w:iCs/>
          <w:color w:val="000000"/>
          <w:lang w:val="el-GR"/>
        </w:rPr>
      </w:pPr>
      <w:r>
        <w:rPr>
          <w:rFonts w:cs="Calibri"/>
          <w:iCs/>
          <w:color w:val="000000"/>
          <w:lang w:val="el-GR"/>
        </w:rPr>
        <w:t>Με βάση</w:t>
      </w:r>
      <w:r w:rsidR="00496867" w:rsidRPr="00496867">
        <w:rPr>
          <w:rFonts w:cs="Calibri"/>
          <w:iCs/>
          <w:color w:val="000000"/>
          <w:lang w:val="el-GR"/>
        </w:rPr>
        <w:t xml:space="preserve"> την ανάλυση </w:t>
      </w:r>
      <w:r>
        <w:rPr>
          <w:rFonts w:cs="Calibri"/>
          <w:iCs/>
          <w:color w:val="000000"/>
          <w:lang w:val="el-GR"/>
        </w:rPr>
        <w:t>στην</w:t>
      </w:r>
      <w:r w:rsidR="00496867" w:rsidRPr="00496867">
        <w:rPr>
          <w:rFonts w:cs="Calibri"/>
          <w:iCs/>
          <w:color w:val="000000"/>
          <w:lang w:val="el-GR"/>
        </w:rPr>
        <w:t xml:space="preserve"> Ενότητα 1</w:t>
      </w:r>
      <w:r>
        <w:rPr>
          <w:rFonts w:cs="Calibri"/>
          <w:iCs/>
          <w:color w:val="000000"/>
          <w:lang w:val="el-GR"/>
        </w:rPr>
        <w:t xml:space="preserve"> της παρούσας Έκθεσης</w:t>
      </w:r>
      <w:r w:rsidR="00496867" w:rsidRPr="00496867">
        <w:rPr>
          <w:rFonts w:cs="Calibri"/>
          <w:iCs/>
          <w:color w:val="000000"/>
          <w:lang w:val="el-GR"/>
        </w:rPr>
        <w:t xml:space="preserve">, δεν είχαν προκύψει </w:t>
      </w:r>
      <w:r w:rsidRPr="00496867">
        <w:rPr>
          <w:rFonts w:cs="Calibri"/>
          <w:iCs/>
          <w:color w:val="000000"/>
          <w:lang w:val="el-GR"/>
        </w:rPr>
        <w:t xml:space="preserve">μέχρι </w:t>
      </w:r>
      <w:r>
        <w:rPr>
          <w:rFonts w:cs="Calibri"/>
          <w:iCs/>
          <w:color w:val="000000"/>
          <w:lang w:val="el-GR"/>
        </w:rPr>
        <w:t>τις 31/12/16</w:t>
      </w:r>
      <w:r w:rsidRPr="00496867">
        <w:rPr>
          <w:rFonts w:cs="Calibri"/>
          <w:iCs/>
          <w:color w:val="000000"/>
          <w:lang w:val="el-GR"/>
        </w:rPr>
        <w:t xml:space="preserve"> </w:t>
      </w:r>
      <w:r w:rsidR="00496867" w:rsidRPr="00496867">
        <w:rPr>
          <w:rFonts w:cs="Calibri"/>
          <w:iCs/>
          <w:color w:val="000000"/>
          <w:lang w:val="el-GR"/>
        </w:rPr>
        <w:t xml:space="preserve">σημαντικές μεταβολές σε σχέση με τις αναπτυξιακές ανάγκες και προκλήσεις της Κύπρου, όπως αυτές έχουν περιγραφεί και αντιμετωπίζονται από τη ΣΕΣ. </w:t>
      </w:r>
    </w:p>
    <w:p w14:paraId="4926C2E7" w14:textId="5A3BBC15" w:rsidR="00496867" w:rsidRPr="00496867" w:rsidRDefault="00496867" w:rsidP="00496867">
      <w:pPr>
        <w:jc w:val="both"/>
        <w:rPr>
          <w:rFonts w:cs="Calibri"/>
          <w:iCs/>
          <w:color w:val="000000"/>
          <w:lang w:val="el-GR"/>
        </w:rPr>
      </w:pPr>
      <w:r w:rsidRPr="00496867">
        <w:rPr>
          <w:rFonts w:cs="Calibri"/>
          <w:iCs/>
          <w:color w:val="000000"/>
          <w:lang w:val="el-GR"/>
        </w:rPr>
        <w:t xml:space="preserve">Οι θετικές μεταβολές που παρατηρούνται στην άρση των συνεπειών της οικονομικής κρίσης/ύφεσης (επάνοδος της οικονομίας σε θετικούς ρυθμούς ανάπτυξης και μερική βελτίωση της απασχόλησης), απαιτείται να  σταθεροποιηθούν και επιταχυνθούν, ενώ σε κάθε περίπτωση αποτελούν αποτέλεσμα κυρίως των γενικότερων μέτρων δημοσιονομικής προσαρμογής και εφαρμογής των μεταρρυθμίσεων, </w:t>
      </w:r>
      <w:r w:rsidR="00AB19E5">
        <w:rPr>
          <w:rFonts w:cs="Calibri"/>
          <w:iCs/>
          <w:color w:val="000000"/>
          <w:lang w:val="el-GR"/>
        </w:rPr>
        <w:t>και σε μικρότερο βαθμό λόγω της αξιοποίησης</w:t>
      </w:r>
      <w:r w:rsidRPr="00496867">
        <w:rPr>
          <w:rFonts w:cs="Calibri"/>
          <w:iCs/>
          <w:color w:val="000000"/>
          <w:lang w:val="el-GR"/>
        </w:rPr>
        <w:t xml:space="preserve"> των ΕΔΕΤ.</w:t>
      </w:r>
    </w:p>
    <w:p w14:paraId="6F100157" w14:textId="09272D7D" w:rsidR="00496867" w:rsidRPr="00496867" w:rsidRDefault="00496867" w:rsidP="00496867">
      <w:pPr>
        <w:jc w:val="both"/>
        <w:rPr>
          <w:rFonts w:cs="Calibri"/>
          <w:iCs/>
          <w:color w:val="000000"/>
          <w:lang w:val="el-GR"/>
        </w:rPr>
      </w:pPr>
      <w:r w:rsidRPr="00496867">
        <w:rPr>
          <w:rFonts w:cs="Calibri"/>
          <w:iCs/>
          <w:color w:val="000000"/>
          <w:lang w:val="el-GR"/>
        </w:rPr>
        <w:t xml:space="preserve">Πρόκληση εξακολουθεί </w:t>
      </w:r>
      <w:r w:rsidR="00994853">
        <w:rPr>
          <w:rFonts w:cs="Calibri"/>
          <w:iCs/>
          <w:color w:val="000000"/>
          <w:lang w:val="el-GR"/>
        </w:rPr>
        <w:t>να</w:t>
      </w:r>
      <w:r w:rsidRPr="00496867">
        <w:rPr>
          <w:rFonts w:cs="Calibri"/>
          <w:iCs/>
          <w:color w:val="000000"/>
          <w:lang w:val="el-GR"/>
        </w:rPr>
        <w:t xml:space="preserve"> αποτελεί η αντιμετώπιση του συνόλου των αποτυπωμένων στη ΣΕΣ προκλήσεων και αναπτυξιακών αναγκών, με ζητούμενο τη διασφάλιση όλων εκείνων των παραμέτρων  που θα συμβάλλουν  στην πλήρη και αποδοτική χρήση των πόρων των ΕΔΕΤ. Στην κατεύθυνση αυτή κρίσιμη είναι η στοχευμένη και σχεδιασμένη αξιοποίηση των διαθέσιμων εργαλείων και πόρων αντιμετώπισης των διατυπωμένων αναπτυξιακών αναγκών και προκλήσεων και ειδικότερα:</w:t>
      </w:r>
    </w:p>
    <w:p w14:paraId="5410563F" w14:textId="51560534" w:rsidR="00496867" w:rsidRPr="00496867" w:rsidRDefault="00496867" w:rsidP="00130BC4">
      <w:pPr>
        <w:numPr>
          <w:ilvl w:val="0"/>
          <w:numId w:val="20"/>
        </w:numPr>
        <w:ind w:left="567"/>
        <w:jc w:val="both"/>
        <w:rPr>
          <w:rFonts w:cs="Calibri"/>
          <w:iCs/>
          <w:color w:val="000000"/>
          <w:lang w:val="el-GR"/>
        </w:rPr>
      </w:pPr>
      <w:r w:rsidRPr="00496867">
        <w:rPr>
          <w:rFonts w:cs="Calibri"/>
          <w:iCs/>
          <w:color w:val="000000"/>
          <w:lang w:val="el-GR"/>
        </w:rPr>
        <w:t xml:space="preserve">ο στοχευμένος προσανατολισμός και η αξιοποίηση κατάλληλου μίγματος ενωσιακών και εθνικών πόρων, </w:t>
      </w:r>
    </w:p>
    <w:p w14:paraId="11C9A19B" w14:textId="6C126D7C" w:rsidR="00496867" w:rsidRPr="00496867" w:rsidRDefault="00496867" w:rsidP="00130BC4">
      <w:pPr>
        <w:numPr>
          <w:ilvl w:val="0"/>
          <w:numId w:val="20"/>
        </w:numPr>
        <w:ind w:left="567"/>
        <w:jc w:val="both"/>
        <w:rPr>
          <w:rFonts w:cs="Calibri"/>
          <w:iCs/>
          <w:color w:val="000000"/>
          <w:lang w:val="el-GR"/>
        </w:rPr>
      </w:pPr>
      <w:r w:rsidRPr="00496867">
        <w:rPr>
          <w:rFonts w:cs="Calibri"/>
          <w:iCs/>
          <w:color w:val="000000"/>
          <w:lang w:val="el-GR"/>
        </w:rPr>
        <w:t>η επιτάχυνση των εμπροσθοβαρών παρεμβάσεων για τη γρήγορη ενσωμάτωση και διάχυση των αποτελεσμάτων τους στο παραγωγικό περιβάλλον και στο ευρύτερο κοινωνικό περιβάλλον,</w:t>
      </w:r>
    </w:p>
    <w:p w14:paraId="7F496E4D" w14:textId="791A0555" w:rsidR="00496867" w:rsidRPr="00496867" w:rsidRDefault="00496867" w:rsidP="00130BC4">
      <w:pPr>
        <w:numPr>
          <w:ilvl w:val="0"/>
          <w:numId w:val="20"/>
        </w:numPr>
        <w:ind w:left="567"/>
        <w:jc w:val="both"/>
        <w:rPr>
          <w:rFonts w:cs="Calibri"/>
          <w:iCs/>
          <w:color w:val="000000"/>
          <w:lang w:val="el-GR"/>
        </w:rPr>
      </w:pPr>
      <w:r w:rsidRPr="00496867">
        <w:rPr>
          <w:rFonts w:cs="Calibri"/>
          <w:iCs/>
          <w:color w:val="000000"/>
          <w:lang w:val="el-GR"/>
        </w:rPr>
        <w:lastRenderedPageBreak/>
        <w:t xml:space="preserve">η διοχέτευση των </w:t>
      </w:r>
      <w:r w:rsidR="00DC2C51" w:rsidRPr="00496867">
        <w:rPr>
          <w:rFonts w:cs="Calibri"/>
          <w:iCs/>
          <w:color w:val="000000"/>
          <w:lang w:val="el-GR"/>
        </w:rPr>
        <w:t xml:space="preserve">πρόσθετων πόρων </w:t>
      </w:r>
      <w:r w:rsidR="00DC2C51">
        <w:rPr>
          <w:rFonts w:cs="Calibri"/>
          <w:iCs/>
          <w:color w:val="000000"/>
          <w:lang w:val="el-GR"/>
        </w:rPr>
        <w:t xml:space="preserve">που κατανεμήθηκαν στην Κύπρο </w:t>
      </w:r>
      <w:r w:rsidR="00DC2C51" w:rsidRPr="00527A90">
        <w:rPr>
          <w:rFonts w:cs="Arial"/>
          <w:lang w:val="el-GR"/>
        </w:rPr>
        <w:t xml:space="preserve">λόγω της </w:t>
      </w:r>
      <w:bookmarkStart w:id="18" w:name="_Hlk488602192"/>
      <w:r w:rsidR="00DC2C51" w:rsidRPr="00527A90">
        <w:rPr>
          <w:rFonts w:cs="Arial"/>
          <w:lang w:val="el-GR"/>
        </w:rPr>
        <w:t>τεχνικής αναπροσαρμογής των εθνικών δημοσιονομικών φακέλων της Πολιτικής Συνοχής της ΕΕ</w:t>
      </w:r>
      <w:bookmarkEnd w:id="18"/>
      <w:r w:rsidR="00DC2C51">
        <w:rPr>
          <w:rFonts w:cs="Calibri"/>
          <w:iCs/>
          <w:color w:val="000000"/>
          <w:lang w:val="el-GR"/>
        </w:rPr>
        <w:t xml:space="preserve"> </w:t>
      </w:r>
      <w:r w:rsidRPr="00496867">
        <w:rPr>
          <w:rFonts w:cs="Calibri"/>
          <w:iCs/>
          <w:color w:val="000000"/>
          <w:lang w:val="el-GR"/>
        </w:rPr>
        <w:t>σε παρεμβάσεις που θα αντιμετωπίσουν καίριες προκλήσεις</w:t>
      </w:r>
      <w:r w:rsidR="00DC2C51">
        <w:rPr>
          <w:rFonts w:cs="Calibri"/>
          <w:iCs/>
          <w:color w:val="000000"/>
          <w:lang w:val="el-GR"/>
        </w:rPr>
        <w:t>,</w:t>
      </w:r>
      <w:r w:rsidRPr="00496867">
        <w:rPr>
          <w:rFonts w:cs="Calibri"/>
          <w:iCs/>
          <w:color w:val="000000"/>
          <w:lang w:val="el-GR"/>
        </w:rPr>
        <w:t xml:space="preserve"> </w:t>
      </w:r>
    </w:p>
    <w:p w14:paraId="3F198C9D" w14:textId="764B8191" w:rsidR="00845790" w:rsidRDefault="00496867" w:rsidP="00130BC4">
      <w:pPr>
        <w:numPr>
          <w:ilvl w:val="0"/>
          <w:numId w:val="20"/>
        </w:numPr>
        <w:ind w:left="567"/>
        <w:jc w:val="both"/>
        <w:rPr>
          <w:rFonts w:eastAsia="TimesNewRomanPSMT" w:cs="Calibri"/>
          <w:lang w:val="el-GR"/>
        </w:rPr>
      </w:pPr>
      <w:r w:rsidRPr="00496867">
        <w:rPr>
          <w:rFonts w:cs="Calibri"/>
          <w:iCs/>
          <w:color w:val="000000"/>
          <w:lang w:val="el-GR"/>
        </w:rPr>
        <w:t xml:space="preserve">η λήψη κατάλληλων μέτρων για την </w:t>
      </w:r>
      <w:r w:rsidR="00DC2C51">
        <w:rPr>
          <w:rFonts w:cs="Calibri"/>
          <w:iCs/>
          <w:color w:val="000000"/>
          <w:lang w:val="el-GR"/>
        </w:rPr>
        <w:t xml:space="preserve">απρόσκοπτη </w:t>
      </w:r>
      <w:r w:rsidRPr="00496867">
        <w:rPr>
          <w:rFonts w:cs="Calibri"/>
          <w:iCs/>
          <w:color w:val="000000"/>
          <w:lang w:val="el-GR"/>
        </w:rPr>
        <w:t>υλοποίηση των ενδιάμεσων στόχων και την επίτευξη των δεικτών του Πλαισίου Επιδόσεων</w:t>
      </w:r>
      <w:r w:rsidR="00DC2C51">
        <w:rPr>
          <w:rFonts w:cs="Calibri"/>
          <w:iCs/>
          <w:color w:val="000000"/>
          <w:lang w:val="el-GR"/>
        </w:rPr>
        <w:t xml:space="preserve"> των Επιχειρησιακών Προγραμμάτων</w:t>
      </w:r>
      <w:r w:rsidRPr="00496867">
        <w:rPr>
          <w:rFonts w:cs="Calibri"/>
          <w:iCs/>
          <w:color w:val="000000"/>
          <w:lang w:val="el-GR"/>
        </w:rPr>
        <w:t>, περιλαμβανομένων και μέτρων που αφορούν στην προσαρμογή της κατανομής των διαθέσιμων πόρων των ΕΔΕΤ.</w:t>
      </w:r>
    </w:p>
    <w:p w14:paraId="52343AA0" w14:textId="77777777" w:rsidR="00496867" w:rsidRPr="00876718" w:rsidRDefault="00496867" w:rsidP="00130BC4">
      <w:pPr>
        <w:autoSpaceDE w:val="0"/>
        <w:autoSpaceDN w:val="0"/>
        <w:adjustRightInd w:val="0"/>
        <w:jc w:val="both"/>
        <w:rPr>
          <w:rFonts w:eastAsia="TimesNewRomanPSMT" w:cs="Calibri"/>
          <w:lang w:val="el-GR"/>
        </w:rPr>
      </w:pPr>
    </w:p>
    <w:p w14:paraId="38B9F2ED" w14:textId="77777777" w:rsidR="00845790" w:rsidRPr="00D3401D" w:rsidRDefault="00845790" w:rsidP="002D7E01">
      <w:pPr>
        <w:autoSpaceDE w:val="0"/>
        <w:autoSpaceDN w:val="0"/>
        <w:adjustRightInd w:val="0"/>
        <w:spacing w:after="0" w:line="240" w:lineRule="auto"/>
        <w:jc w:val="both"/>
        <w:rPr>
          <w:rFonts w:eastAsia="TimesNewRomanPSMT" w:cs="Calibri"/>
          <w:i/>
          <w:lang w:val="el-GR"/>
        </w:rPr>
      </w:pPr>
      <w:r w:rsidRPr="00D3401D">
        <w:rPr>
          <w:rFonts w:eastAsia="TimesNewRomanPSMT" w:cs="Calibri"/>
          <w:b/>
          <w:i/>
          <w:lang w:val="el-GR"/>
        </w:rPr>
        <w:t>στ) Άλλα στοιχεία, κατά περίπτωση</w:t>
      </w:r>
      <w:r w:rsidRPr="00D3401D">
        <w:rPr>
          <w:rFonts w:eastAsia="TimesNewRomanPSMT" w:cs="Calibri"/>
          <w:i/>
          <w:lang w:val="el-GR"/>
        </w:rPr>
        <w:t>.</w:t>
      </w:r>
    </w:p>
    <w:p w14:paraId="50A95007" w14:textId="77777777" w:rsidR="005A4137" w:rsidRPr="00876718" w:rsidRDefault="005A4137" w:rsidP="002D7E01">
      <w:pPr>
        <w:autoSpaceDE w:val="0"/>
        <w:autoSpaceDN w:val="0"/>
        <w:adjustRightInd w:val="0"/>
        <w:spacing w:after="0" w:line="240" w:lineRule="auto"/>
        <w:jc w:val="both"/>
        <w:rPr>
          <w:rFonts w:eastAsia="TimesNewRomanPSMT" w:cs="Calibri"/>
          <w:lang w:val="el-GR"/>
        </w:rPr>
      </w:pPr>
    </w:p>
    <w:p w14:paraId="0A7005E5" w14:textId="54F8AED2" w:rsidR="00496867" w:rsidRDefault="00496867" w:rsidP="00496867">
      <w:pPr>
        <w:jc w:val="both"/>
        <w:rPr>
          <w:rFonts w:cs="Calibri"/>
          <w:iCs/>
          <w:color w:val="000000"/>
          <w:lang w:val="el-GR"/>
        </w:rPr>
      </w:pPr>
      <w:r w:rsidRPr="00496867">
        <w:rPr>
          <w:rFonts w:cs="Calibri"/>
          <w:iCs/>
          <w:color w:val="000000"/>
          <w:lang w:val="el-GR"/>
        </w:rPr>
        <w:t xml:space="preserve">Η επίτευξη των επιδιωκόμενων στόχων σχετικά με την προσαρμογή στην κλιματική αλλαγή και την πρόληψη κινδύνων εντάσσεται στο πλαίσιο του Θ.Σ. 5 της ΣΕΣ και υλοποιείται μέσα από τους πόρους του Τ.Σ. και του ΕΓΤΑΑ. </w:t>
      </w:r>
      <w:r w:rsidR="00EC0863">
        <w:rPr>
          <w:rFonts w:cs="Calibri"/>
          <w:iCs/>
          <w:color w:val="000000"/>
          <w:lang w:val="el-GR"/>
        </w:rPr>
        <w:t xml:space="preserve">Επιπρόσθετα, υπάρχουν παρεμβάσεις και σε άλλους Θεματικούς Στόχους (π.χ. Θ.Σ. 4, Θ.Σ. 6, Θ.Σ. 7), οι οποίοι συμβάλουν έμμεσα στην επίτευξη των στόχων της κλιματική αλλαγής. </w:t>
      </w:r>
      <w:r w:rsidRPr="00DC2C51">
        <w:rPr>
          <w:rFonts w:cs="Calibri"/>
          <w:iCs/>
          <w:color w:val="000000"/>
          <w:lang w:val="el-GR"/>
        </w:rPr>
        <w:t xml:space="preserve">Η εικόνα μέχρι </w:t>
      </w:r>
      <w:r w:rsidR="00DC2C51">
        <w:rPr>
          <w:rFonts w:cs="Calibri"/>
          <w:iCs/>
          <w:color w:val="000000"/>
          <w:lang w:val="el-GR"/>
        </w:rPr>
        <w:t>τις</w:t>
      </w:r>
      <w:r w:rsidRPr="00DC2C51">
        <w:rPr>
          <w:rFonts w:cs="Calibri"/>
          <w:iCs/>
          <w:color w:val="000000"/>
          <w:lang w:val="el-GR"/>
        </w:rPr>
        <w:t xml:space="preserve"> 31/12/2016 σχετικά με την στήριξη που χρησιμοποιήθηκε για τους στόχους της κλιματικής αλλαγής ανά Ταμείο,</w:t>
      </w:r>
      <w:r w:rsidRPr="00496867">
        <w:rPr>
          <w:rFonts w:cs="Calibri"/>
          <w:iCs/>
          <w:color w:val="000000"/>
          <w:lang w:val="el-GR"/>
        </w:rPr>
        <w:t xml:space="preserve"> συνοψίζεται στον Πίνακα που ακολουθεί.</w:t>
      </w:r>
    </w:p>
    <w:p w14:paraId="635787FA" w14:textId="77777777" w:rsidR="00130BC4" w:rsidRPr="00496867" w:rsidRDefault="00130BC4" w:rsidP="00130BC4">
      <w:pPr>
        <w:spacing w:after="0" w:line="240" w:lineRule="auto"/>
        <w:jc w:val="both"/>
        <w:rPr>
          <w:rFonts w:cs="Calibri"/>
          <w:iCs/>
          <w:color w:val="000000"/>
          <w:lang w:val="el-GR"/>
        </w:rPr>
      </w:pPr>
    </w:p>
    <w:p w14:paraId="18B0F930" w14:textId="1AADDE1E" w:rsidR="00496867" w:rsidRPr="00130BC4" w:rsidRDefault="00496867" w:rsidP="00130BC4">
      <w:pPr>
        <w:autoSpaceDE w:val="0"/>
        <w:autoSpaceDN w:val="0"/>
        <w:adjustRightInd w:val="0"/>
        <w:jc w:val="both"/>
        <w:rPr>
          <w:rFonts w:cs="Calibri"/>
          <w:b/>
          <w:iCs/>
          <w:color w:val="000000"/>
          <w:lang w:val="el-GR"/>
        </w:rPr>
      </w:pPr>
      <w:r w:rsidRPr="00496867">
        <w:rPr>
          <w:rFonts w:cs="Calibri"/>
          <w:b/>
          <w:iCs/>
          <w:color w:val="000000"/>
          <w:u w:val="single"/>
          <w:lang w:val="el-GR"/>
        </w:rPr>
        <w:t>Πίνακας 1</w:t>
      </w:r>
      <w:r w:rsidRPr="00496867">
        <w:rPr>
          <w:rFonts w:cs="Calibri"/>
          <w:b/>
          <w:iCs/>
          <w:color w:val="000000"/>
          <w:lang w:val="el-GR"/>
        </w:rPr>
        <w:t>: Στήριξη που χρησιμοποιήθηκε για τους</w:t>
      </w:r>
      <w:r w:rsidR="00130BC4">
        <w:rPr>
          <w:rFonts w:cs="Calibri"/>
          <w:b/>
          <w:iCs/>
          <w:color w:val="000000"/>
          <w:lang w:val="el-GR"/>
        </w:rPr>
        <w:t xml:space="preserve"> στόχους της κλιματικής αλλαγής</w:t>
      </w:r>
    </w:p>
    <w:tbl>
      <w:tblPr>
        <w:tblW w:w="0" w:type="auto"/>
        <w:jc w:val="center"/>
        <w:tblBorders>
          <w:top w:val="single" w:sz="4" w:space="0" w:color="020303"/>
          <w:left w:val="single" w:sz="4" w:space="0" w:color="020303"/>
          <w:bottom w:val="single" w:sz="4" w:space="0" w:color="020303"/>
          <w:right w:val="single" w:sz="4" w:space="0" w:color="020303"/>
          <w:insideH w:val="single" w:sz="4" w:space="0" w:color="020303"/>
          <w:insideV w:val="single" w:sz="4" w:space="0" w:color="020303"/>
        </w:tblBorders>
        <w:tblCellMar>
          <w:left w:w="0" w:type="dxa"/>
          <w:right w:w="0" w:type="dxa"/>
        </w:tblCellMar>
        <w:tblLook w:val="01E0" w:firstRow="1" w:lastRow="1" w:firstColumn="1" w:lastColumn="1" w:noHBand="0" w:noVBand="0"/>
      </w:tblPr>
      <w:tblGrid>
        <w:gridCol w:w="1843"/>
        <w:gridCol w:w="2888"/>
        <w:gridCol w:w="2192"/>
        <w:gridCol w:w="2481"/>
      </w:tblGrid>
      <w:tr w:rsidR="00496867" w:rsidRPr="00AE1D7A" w14:paraId="718428EF" w14:textId="77777777" w:rsidTr="00276D3F">
        <w:trPr>
          <w:trHeight w:hRule="exact" w:val="1308"/>
          <w:tblHeader/>
          <w:jc w:val="center"/>
        </w:trPr>
        <w:tc>
          <w:tcPr>
            <w:tcW w:w="1843" w:type="dxa"/>
            <w:tcBorders>
              <w:left w:val="nil"/>
            </w:tcBorders>
          </w:tcPr>
          <w:p w14:paraId="5854757C" w14:textId="77777777" w:rsidR="00496867" w:rsidRPr="00527A90" w:rsidRDefault="00496867" w:rsidP="00291468">
            <w:pPr>
              <w:widowControl w:val="0"/>
              <w:spacing w:after="0" w:line="240" w:lineRule="auto"/>
              <w:rPr>
                <w:rFonts w:eastAsia="Century Gothic" w:cs="Century Gothic"/>
                <w:b/>
                <w:sz w:val="21"/>
                <w:szCs w:val="21"/>
                <w:lang w:val="el-GR"/>
              </w:rPr>
            </w:pPr>
          </w:p>
          <w:p w14:paraId="3B2C0817" w14:textId="77777777" w:rsidR="00496867" w:rsidRPr="00527A90" w:rsidRDefault="00496867" w:rsidP="00291468">
            <w:pPr>
              <w:widowControl w:val="0"/>
              <w:spacing w:after="0" w:line="240" w:lineRule="auto"/>
              <w:ind w:left="563" w:right="563"/>
              <w:jc w:val="center"/>
              <w:rPr>
                <w:rFonts w:eastAsia="Century Gothic" w:cs="Century Gothic"/>
                <w:b/>
                <w:sz w:val="21"/>
                <w:szCs w:val="21"/>
                <w:lang w:val="el-GR"/>
              </w:rPr>
            </w:pPr>
            <w:r w:rsidRPr="00527A90">
              <w:rPr>
                <w:rFonts w:eastAsia="Century Gothic" w:cs="Century Gothic"/>
                <w:b/>
                <w:color w:val="020303"/>
                <w:sz w:val="21"/>
                <w:szCs w:val="21"/>
                <w:lang w:val="el-GR"/>
              </w:rPr>
              <w:t>Ταμείο</w:t>
            </w:r>
          </w:p>
        </w:tc>
        <w:tc>
          <w:tcPr>
            <w:tcW w:w="2888" w:type="dxa"/>
          </w:tcPr>
          <w:p w14:paraId="233F1F5E" w14:textId="77777777" w:rsidR="00496867" w:rsidRPr="00527A90" w:rsidRDefault="00496867" w:rsidP="00291468">
            <w:pPr>
              <w:widowControl w:val="0"/>
              <w:spacing w:after="0" w:line="240" w:lineRule="auto"/>
              <w:ind w:left="66" w:right="64"/>
              <w:jc w:val="center"/>
              <w:rPr>
                <w:rFonts w:eastAsia="Century Gothic" w:cs="Century Gothic"/>
                <w:b/>
                <w:sz w:val="21"/>
                <w:szCs w:val="21"/>
                <w:lang w:val="el-GR"/>
              </w:rPr>
            </w:pPr>
            <w:r w:rsidRPr="00527A90">
              <w:rPr>
                <w:rFonts w:eastAsia="Century Gothic" w:cs="Century Gothic"/>
                <w:b/>
                <w:sz w:val="21"/>
                <w:szCs w:val="21"/>
                <w:lang w:val="el-GR"/>
              </w:rPr>
              <w:t>Α. Στήριξη που χρησιμοποιήθηκε για τους στόχους της κλιματικής αλλαγής στο σύμφωνο εταιρικής σχέσης</w:t>
            </w:r>
          </w:p>
        </w:tc>
        <w:tc>
          <w:tcPr>
            <w:tcW w:w="0" w:type="auto"/>
          </w:tcPr>
          <w:p w14:paraId="47A317CA" w14:textId="77777777" w:rsidR="00496867" w:rsidRPr="00527A90" w:rsidRDefault="00496867" w:rsidP="00291468">
            <w:pPr>
              <w:widowControl w:val="0"/>
              <w:spacing w:after="0" w:line="240" w:lineRule="auto"/>
              <w:ind w:left="66" w:right="64"/>
              <w:jc w:val="center"/>
              <w:rPr>
                <w:rFonts w:eastAsia="Century Gothic" w:cs="Century Gothic"/>
                <w:b/>
                <w:sz w:val="21"/>
                <w:szCs w:val="21"/>
                <w:lang w:val="el-GR"/>
              </w:rPr>
            </w:pPr>
            <w:r w:rsidRPr="00527A90">
              <w:rPr>
                <w:rFonts w:eastAsia="Century Gothic" w:cs="Century Gothic"/>
                <w:b/>
                <w:sz w:val="21"/>
                <w:szCs w:val="21"/>
                <w:lang w:val="el-GR"/>
              </w:rPr>
              <w:t>Β. Στήριξη που χρησιμοποιήθηκε για τους στόχους της κλιματικής αλλαγής</w:t>
            </w:r>
            <w:r w:rsidRPr="00527A90">
              <w:rPr>
                <w:rFonts w:eastAsia="Century Gothic" w:cs="Century Gothic"/>
                <w:b/>
                <w:sz w:val="21"/>
                <w:szCs w:val="21"/>
                <w:vertAlign w:val="superscript"/>
                <w:lang w:val="el-GR"/>
              </w:rPr>
              <w:footnoteReference w:id="13"/>
            </w:r>
          </w:p>
        </w:tc>
        <w:tc>
          <w:tcPr>
            <w:tcW w:w="0" w:type="auto"/>
            <w:tcBorders>
              <w:right w:val="nil"/>
            </w:tcBorders>
          </w:tcPr>
          <w:p w14:paraId="56D47487" w14:textId="77777777" w:rsidR="00496867" w:rsidRPr="00527A90" w:rsidRDefault="00496867" w:rsidP="00291468">
            <w:pPr>
              <w:widowControl w:val="0"/>
              <w:spacing w:after="0" w:line="240" w:lineRule="auto"/>
              <w:ind w:left="66" w:right="64"/>
              <w:jc w:val="center"/>
              <w:rPr>
                <w:rFonts w:eastAsia="Century Gothic" w:cs="Century Gothic"/>
                <w:b/>
                <w:sz w:val="21"/>
                <w:szCs w:val="21"/>
                <w:lang w:val="el-GR"/>
              </w:rPr>
            </w:pPr>
            <w:r w:rsidRPr="00527A90">
              <w:rPr>
                <w:rFonts w:eastAsia="Century Gothic" w:cs="Century Gothic"/>
                <w:b/>
                <w:sz w:val="21"/>
                <w:szCs w:val="21"/>
                <w:lang w:val="el-GR"/>
              </w:rPr>
              <w:t>Ποσοστό της στήριξης που χρησιμοποιήθηκε σε σύγκριση με τα προβλεπόμενα στο σύμφωνο εταιρικής σχέσης</w:t>
            </w:r>
          </w:p>
          <w:p w14:paraId="2F873835" w14:textId="77777777" w:rsidR="00496867" w:rsidRPr="00527A90" w:rsidRDefault="00496867" w:rsidP="00291468">
            <w:pPr>
              <w:widowControl w:val="0"/>
              <w:spacing w:after="0" w:line="240" w:lineRule="auto"/>
              <w:ind w:left="66" w:right="64"/>
              <w:jc w:val="center"/>
              <w:rPr>
                <w:rFonts w:eastAsia="Century Gothic" w:cs="Century Gothic"/>
                <w:b/>
                <w:sz w:val="21"/>
                <w:szCs w:val="21"/>
              </w:rPr>
            </w:pPr>
            <w:r w:rsidRPr="00527A90">
              <w:rPr>
                <w:rFonts w:eastAsia="Century Gothic" w:cs="Century Gothic"/>
                <w:b/>
                <w:sz w:val="21"/>
                <w:szCs w:val="21"/>
                <w:lang w:val="el-GR"/>
              </w:rPr>
              <w:t>(% Β/Α)</w:t>
            </w:r>
          </w:p>
        </w:tc>
      </w:tr>
      <w:tr w:rsidR="00496867" w:rsidRPr="00AE1D7A" w14:paraId="6E34DED0" w14:textId="77777777" w:rsidTr="00291468">
        <w:trPr>
          <w:trHeight w:hRule="exact" w:val="538"/>
          <w:jc w:val="center"/>
        </w:trPr>
        <w:tc>
          <w:tcPr>
            <w:tcW w:w="1843" w:type="dxa"/>
            <w:tcBorders>
              <w:left w:val="nil"/>
            </w:tcBorders>
            <w:vAlign w:val="center"/>
          </w:tcPr>
          <w:p w14:paraId="7623574D" w14:textId="77777777" w:rsidR="00496867" w:rsidRPr="00527A90" w:rsidRDefault="00496867" w:rsidP="00291468">
            <w:pPr>
              <w:widowControl w:val="0"/>
              <w:spacing w:after="0" w:line="240" w:lineRule="auto"/>
              <w:ind w:left="-1"/>
              <w:rPr>
                <w:rFonts w:eastAsia="Century Gothic" w:cs="Century Gothic"/>
                <w:b/>
                <w:sz w:val="21"/>
                <w:szCs w:val="21"/>
              </w:rPr>
            </w:pPr>
            <w:r w:rsidRPr="00527A90">
              <w:rPr>
                <w:rFonts w:eastAsia="Century Gothic" w:cs="Century Gothic"/>
                <w:b/>
                <w:sz w:val="21"/>
                <w:szCs w:val="21"/>
              </w:rPr>
              <w:t>ΕΤΠΑ</w:t>
            </w:r>
          </w:p>
        </w:tc>
        <w:tc>
          <w:tcPr>
            <w:tcW w:w="2888" w:type="dxa"/>
            <w:vAlign w:val="center"/>
          </w:tcPr>
          <w:p w14:paraId="44D91630" w14:textId="77777777" w:rsidR="00496867" w:rsidRPr="00527A90" w:rsidRDefault="00276D3F" w:rsidP="00291468">
            <w:pPr>
              <w:spacing w:after="0" w:line="240" w:lineRule="auto"/>
              <w:jc w:val="center"/>
              <w:rPr>
                <w:sz w:val="21"/>
                <w:szCs w:val="21"/>
                <w:lang w:val="el-GR"/>
              </w:rPr>
            </w:pPr>
            <w:r w:rsidRPr="00527A90">
              <w:rPr>
                <w:sz w:val="21"/>
                <w:szCs w:val="21"/>
                <w:lang w:val="el-GR"/>
              </w:rPr>
              <w:t>-</w:t>
            </w:r>
          </w:p>
        </w:tc>
        <w:tc>
          <w:tcPr>
            <w:tcW w:w="0" w:type="auto"/>
            <w:vAlign w:val="center"/>
          </w:tcPr>
          <w:p w14:paraId="57351AF5" w14:textId="77777777" w:rsidR="00496867" w:rsidRPr="00527A90" w:rsidRDefault="00276D3F" w:rsidP="00291468">
            <w:pPr>
              <w:spacing w:after="0" w:line="240" w:lineRule="auto"/>
              <w:jc w:val="center"/>
              <w:rPr>
                <w:sz w:val="21"/>
                <w:szCs w:val="21"/>
                <w:lang w:val="el-GR"/>
              </w:rPr>
            </w:pPr>
            <w:r w:rsidRPr="00527A90">
              <w:rPr>
                <w:sz w:val="21"/>
                <w:szCs w:val="21"/>
                <w:lang w:val="el-GR"/>
              </w:rPr>
              <w:t>-</w:t>
            </w:r>
          </w:p>
        </w:tc>
        <w:tc>
          <w:tcPr>
            <w:tcW w:w="0" w:type="auto"/>
            <w:tcBorders>
              <w:right w:val="nil"/>
            </w:tcBorders>
            <w:vAlign w:val="center"/>
          </w:tcPr>
          <w:p w14:paraId="2B581BF2" w14:textId="77777777" w:rsidR="00496867" w:rsidRPr="00527A90" w:rsidRDefault="00276D3F" w:rsidP="00291468">
            <w:pPr>
              <w:spacing w:after="0" w:line="240" w:lineRule="auto"/>
              <w:jc w:val="center"/>
              <w:rPr>
                <w:b/>
                <w:sz w:val="21"/>
                <w:szCs w:val="21"/>
                <w:lang w:val="el-GR"/>
              </w:rPr>
            </w:pPr>
            <w:r w:rsidRPr="00527A90">
              <w:rPr>
                <w:b/>
                <w:sz w:val="21"/>
                <w:szCs w:val="21"/>
                <w:lang w:val="el-GR"/>
              </w:rPr>
              <w:t>-</w:t>
            </w:r>
          </w:p>
        </w:tc>
      </w:tr>
      <w:tr w:rsidR="00496867" w:rsidRPr="00130BC4" w14:paraId="0260ACFA" w14:textId="77777777" w:rsidTr="00291468">
        <w:trPr>
          <w:trHeight w:hRule="exact" w:val="596"/>
          <w:jc w:val="center"/>
        </w:trPr>
        <w:tc>
          <w:tcPr>
            <w:tcW w:w="1843" w:type="dxa"/>
            <w:tcBorders>
              <w:left w:val="nil"/>
            </w:tcBorders>
            <w:vAlign w:val="center"/>
          </w:tcPr>
          <w:p w14:paraId="7D54D1D6" w14:textId="1D30F805" w:rsidR="00496867" w:rsidRPr="00130BC4" w:rsidRDefault="00AE1D7A" w:rsidP="00291468">
            <w:pPr>
              <w:widowControl w:val="0"/>
              <w:spacing w:after="0" w:line="240" w:lineRule="auto"/>
              <w:ind w:left="-1"/>
              <w:rPr>
                <w:rFonts w:eastAsia="Century Gothic" w:cs="Century Gothic"/>
                <w:b/>
                <w:sz w:val="21"/>
                <w:szCs w:val="21"/>
              </w:rPr>
            </w:pPr>
            <w:r w:rsidRPr="00130BC4">
              <w:rPr>
                <w:rFonts w:eastAsia="Century Gothic" w:cs="Century Gothic"/>
                <w:b/>
                <w:sz w:val="21"/>
                <w:szCs w:val="21"/>
              </w:rPr>
              <w:t>Τ</w:t>
            </w:r>
            <w:r w:rsidR="00291468" w:rsidRPr="00130BC4">
              <w:rPr>
                <w:rFonts w:eastAsia="Century Gothic" w:cs="Century Gothic"/>
                <w:b/>
                <w:sz w:val="21"/>
                <w:szCs w:val="21"/>
                <w:lang w:val="el-GR"/>
              </w:rPr>
              <w:t>ΑΜΕΙΟ</w:t>
            </w:r>
            <w:r w:rsidR="00496867" w:rsidRPr="00130BC4">
              <w:rPr>
                <w:rFonts w:eastAsia="Century Gothic" w:cs="Century Gothic"/>
                <w:b/>
                <w:sz w:val="21"/>
                <w:szCs w:val="21"/>
              </w:rPr>
              <w:t xml:space="preserve"> Σ</w:t>
            </w:r>
            <w:r w:rsidR="00291468" w:rsidRPr="00130BC4">
              <w:rPr>
                <w:rFonts w:eastAsia="Century Gothic" w:cs="Century Gothic"/>
                <w:b/>
                <w:sz w:val="21"/>
                <w:szCs w:val="21"/>
                <w:lang w:val="el-GR"/>
              </w:rPr>
              <w:t>ΥΝΟΧΗΣ</w:t>
            </w:r>
          </w:p>
        </w:tc>
        <w:tc>
          <w:tcPr>
            <w:tcW w:w="2888" w:type="dxa"/>
            <w:vAlign w:val="center"/>
          </w:tcPr>
          <w:p w14:paraId="3A02FDBF" w14:textId="77777777" w:rsidR="00496867" w:rsidRPr="00130BC4" w:rsidRDefault="00496867" w:rsidP="00291468">
            <w:pPr>
              <w:spacing w:after="0" w:line="240" w:lineRule="auto"/>
              <w:jc w:val="center"/>
              <w:rPr>
                <w:sz w:val="21"/>
                <w:szCs w:val="21"/>
                <w:lang w:val="el-GR"/>
              </w:rPr>
            </w:pPr>
            <w:r w:rsidRPr="00130BC4">
              <w:rPr>
                <w:sz w:val="21"/>
                <w:szCs w:val="21"/>
                <w:lang w:val="el-GR"/>
              </w:rPr>
              <w:t>€103.109.000,00</w:t>
            </w:r>
          </w:p>
        </w:tc>
        <w:tc>
          <w:tcPr>
            <w:tcW w:w="0" w:type="auto"/>
            <w:vAlign w:val="center"/>
          </w:tcPr>
          <w:p w14:paraId="1FCD5DBB" w14:textId="77777777" w:rsidR="00496867" w:rsidRPr="00130BC4" w:rsidRDefault="00496867" w:rsidP="00291468">
            <w:pPr>
              <w:spacing w:after="0" w:line="240" w:lineRule="auto"/>
              <w:jc w:val="center"/>
              <w:rPr>
                <w:sz w:val="21"/>
                <w:szCs w:val="21"/>
              </w:rPr>
            </w:pPr>
            <w:r w:rsidRPr="00130BC4">
              <w:rPr>
                <w:sz w:val="21"/>
                <w:szCs w:val="21"/>
                <w:lang w:val="el-GR"/>
              </w:rPr>
              <w:t>€8.531.950,64</w:t>
            </w:r>
          </w:p>
        </w:tc>
        <w:tc>
          <w:tcPr>
            <w:tcW w:w="0" w:type="auto"/>
            <w:tcBorders>
              <w:right w:val="nil"/>
            </w:tcBorders>
            <w:vAlign w:val="center"/>
          </w:tcPr>
          <w:p w14:paraId="2491A481" w14:textId="77777777" w:rsidR="00496867" w:rsidRPr="00130BC4" w:rsidRDefault="00496867" w:rsidP="00291468">
            <w:pPr>
              <w:spacing w:after="0" w:line="240" w:lineRule="auto"/>
              <w:jc w:val="center"/>
              <w:rPr>
                <w:b/>
                <w:sz w:val="21"/>
                <w:szCs w:val="21"/>
                <w:lang w:val="el-GR"/>
              </w:rPr>
            </w:pPr>
            <w:r w:rsidRPr="00130BC4">
              <w:rPr>
                <w:b/>
                <w:sz w:val="21"/>
                <w:szCs w:val="21"/>
                <w:lang w:val="el-GR"/>
              </w:rPr>
              <w:t>8,27%</w:t>
            </w:r>
          </w:p>
        </w:tc>
      </w:tr>
      <w:tr w:rsidR="00496867" w:rsidRPr="00130BC4" w14:paraId="64DDA4D9" w14:textId="77777777" w:rsidTr="00291468">
        <w:trPr>
          <w:trHeight w:hRule="exact" w:val="599"/>
          <w:jc w:val="center"/>
        </w:trPr>
        <w:tc>
          <w:tcPr>
            <w:tcW w:w="1843" w:type="dxa"/>
            <w:tcBorders>
              <w:left w:val="nil"/>
            </w:tcBorders>
            <w:vAlign w:val="center"/>
          </w:tcPr>
          <w:p w14:paraId="51D8AA91" w14:textId="77777777" w:rsidR="00496867" w:rsidRPr="00130BC4" w:rsidRDefault="00496867" w:rsidP="00291468">
            <w:pPr>
              <w:widowControl w:val="0"/>
              <w:spacing w:after="0" w:line="240" w:lineRule="auto"/>
              <w:ind w:left="-1"/>
              <w:rPr>
                <w:rFonts w:eastAsia="Century Gothic" w:cs="Century Gothic"/>
                <w:b/>
                <w:sz w:val="21"/>
                <w:szCs w:val="21"/>
                <w:lang w:val="el-GR"/>
              </w:rPr>
            </w:pPr>
            <w:r w:rsidRPr="00130BC4">
              <w:rPr>
                <w:rFonts w:eastAsia="Century Gothic" w:cs="Century Gothic"/>
                <w:b/>
                <w:sz w:val="21"/>
                <w:szCs w:val="21"/>
              </w:rPr>
              <w:t>ΕΚΤ</w:t>
            </w:r>
            <w:r w:rsidRPr="00130BC4">
              <w:rPr>
                <w:rFonts w:eastAsia="Century Gothic" w:cs="Century Gothic"/>
                <w:b/>
                <w:sz w:val="21"/>
                <w:szCs w:val="21"/>
                <w:vertAlign w:val="superscript"/>
              </w:rPr>
              <w:footnoteReference w:id="14"/>
            </w:r>
          </w:p>
        </w:tc>
        <w:tc>
          <w:tcPr>
            <w:tcW w:w="2888" w:type="dxa"/>
            <w:vAlign w:val="center"/>
          </w:tcPr>
          <w:p w14:paraId="00145BEB" w14:textId="77777777" w:rsidR="00496867" w:rsidRPr="00130BC4" w:rsidRDefault="00276D3F" w:rsidP="00291468">
            <w:pPr>
              <w:spacing w:after="0" w:line="240" w:lineRule="auto"/>
              <w:jc w:val="center"/>
              <w:rPr>
                <w:sz w:val="21"/>
                <w:szCs w:val="21"/>
                <w:lang w:val="el-GR"/>
              </w:rPr>
            </w:pPr>
            <w:r w:rsidRPr="00130BC4">
              <w:rPr>
                <w:sz w:val="21"/>
                <w:szCs w:val="21"/>
                <w:lang w:val="el-GR"/>
              </w:rPr>
              <w:t>-</w:t>
            </w:r>
          </w:p>
        </w:tc>
        <w:tc>
          <w:tcPr>
            <w:tcW w:w="0" w:type="auto"/>
            <w:vAlign w:val="center"/>
          </w:tcPr>
          <w:p w14:paraId="2816E551" w14:textId="77777777" w:rsidR="00496867" w:rsidRPr="00130BC4" w:rsidRDefault="00276D3F" w:rsidP="00291468">
            <w:pPr>
              <w:spacing w:after="0" w:line="240" w:lineRule="auto"/>
              <w:jc w:val="center"/>
              <w:rPr>
                <w:sz w:val="21"/>
                <w:szCs w:val="21"/>
                <w:lang w:val="el-GR"/>
              </w:rPr>
            </w:pPr>
            <w:r w:rsidRPr="00130BC4">
              <w:rPr>
                <w:sz w:val="21"/>
                <w:szCs w:val="21"/>
                <w:lang w:val="el-GR"/>
              </w:rPr>
              <w:t>-</w:t>
            </w:r>
          </w:p>
        </w:tc>
        <w:tc>
          <w:tcPr>
            <w:tcW w:w="0" w:type="auto"/>
            <w:tcBorders>
              <w:right w:val="nil"/>
            </w:tcBorders>
            <w:vAlign w:val="center"/>
          </w:tcPr>
          <w:p w14:paraId="11682EF2" w14:textId="77777777" w:rsidR="00496867" w:rsidRPr="00130BC4" w:rsidRDefault="00276D3F" w:rsidP="00291468">
            <w:pPr>
              <w:spacing w:after="0" w:line="240" w:lineRule="auto"/>
              <w:jc w:val="center"/>
              <w:rPr>
                <w:b/>
                <w:sz w:val="21"/>
                <w:szCs w:val="21"/>
                <w:lang w:val="el-GR"/>
              </w:rPr>
            </w:pPr>
            <w:r w:rsidRPr="00130BC4">
              <w:rPr>
                <w:b/>
                <w:sz w:val="21"/>
                <w:szCs w:val="21"/>
                <w:lang w:val="el-GR"/>
              </w:rPr>
              <w:t>-</w:t>
            </w:r>
          </w:p>
        </w:tc>
      </w:tr>
      <w:tr w:rsidR="00496867" w:rsidRPr="00130BC4" w14:paraId="0A591F41" w14:textId="77777777" w:rsidTr="00291468">
        <w:trPr>
          <w:trHeight w:hRule="exact" w:val="599"/>
          <w:jc w:val="center"/>
        </w:trPr>
        <w:tc>
          <w:tcPr>
            <w:tcW w:w="1843" w:type="dxa"/>
            <w:tcBorders>
              <w:left w:val="nil"/>
            </w:tcBorders>
            <w:vAlign w:val="center"/>
          </w:tcPr>
          <w:p w14:paraId="2609F5BF" w14:textId="77777777" w:rsidR="00496867" w:rsidRPr="00130BC4" w:rsidRDefault="00496867" w:rsidP="00291468">
            <w:pPr>
              <w:widowControl w:val="0"/>
              <w:spacing w:after="0" w:line="240" w:lineRule="auto"/>
              <w:ind w:left="-1"/>
              <w:rPr>
                <w:rFonts w:eastAsia="Century Gothic" w:cs="Century Gothic"/>
                <w:b/>
                <w:sz w:val="21"/>
                <w:szCs w:val="21"/>
              </w:rPr>
            </w:pPr>
            <w:r w:rsidRPr="00130BC4">
              <w:rPr>
                <w:rFonts w:eastAsia="Century Gothic" w:cs="Century Gothic"/>
                <w:b/>
                <w:sz w:val="21"/>
                <w:szCs w:val="21"/>
              </w:rPr>
              <w:t>ΕΓΤΑΑ</w:t>
            </w:r>
          </w:p>
        </w:tc>
        <w:tc>
          <w:tcPr>
            <w:tcW w:w="2888" w:type="dxa"/>
            <w:vAlign w:val="center"/>
          </w:tcPr>
          <w:p w14:paraId="67255CDA" w14:textId="77777777" w:rsidR="00496867" w:rsidRPr="00130BC4" w:rsidRDefault="0002568F" w:rsidP="00291468">
            <w:pPr>
              <w:spacing w:after="0" w:line="240" w:lineRule="auto"/>
              <w:jc w:val="center"/>
              <w:rPr>
                <w:sz w:val="21"/>
                <w:szCs w:val="21"/>
              </w:rPr>
            </w:pPr>
            <w:r w:rsidRPr="00130BC4">
              <w:rPr>
                <w:sz w:val="21"/>
                <w:szCs w:val="21"/>
              </w:rPr>
              <w:t>€78.524.800</w:t>
            </w:r>
          </w:p>
        </w:tc>
        <w:tc>
          <w:tcPr>
            <w:tcW w:w="0" w:type="auto"/>
            <w:vAlign w:val="center"/>
          </w:tcPr>
          <w:p w14:paraId="1F680771" w14:textId="77777777" w:rsidR="00496867" w:rsidRPr="00130BC4" w:rsidRDefault="0002568F" w:rsidP="00291468">
            <w:pPr>
              <w:spacing w:after="0" w:line="240" w:lineRule="auto"/>
              <w:jc w:val="center"/>
              <w:rPr>
                <w:sz w:val="21"/>
                <w:szCs w:val="21"/>
              </w:rPr>
            </w:pPr>
            <w:r w:rsidRPr="00130BC4">
              <w:rPr>
                <w:sz w:val="21"/>
                <w:szCs w:val="21"/>
              </w:rPr>
              <w:t>€10.465.299</w:t>
            </w:r>
          </w:p>
        </w:tc>
        <w:tc>
          <w:tcPr>
            <w:tcW w:w="0" w:type="auto"/>
            <w:tcBorders>
              <w:right w:val="nil"/>
            </w:tcBorders>
            <w:vAlign w:val="center"/>
          </w:tcPr>
          <w:p w14:paraId="74F23145" w14:textId="77777777" w:rsidR="00496867" w:rsidRPr="00130BC4" w:rsidRDefault="001C7A4A" w:rsidP="00291468">
            <w:pPr>
              <w:spacing w:after="0" w:line="240" w:lineRule="auto"/>
              <w:jc w:val="center"/>
              <w:rPr>
                <w:b/>
                <w:sz w:val="21"/>
                <w:szCs w:val="21"/>
                <w:lang w:val="el-GR"/>
              </w:rPr>
            </w:pPr>
            <w:r w:rsidRPr="00130BC4">
              <w:rPr>
                <w:b/>
                <w:sz w:val="21"/>
                <w:szCs w:val="21"/>
                <w:lang w:val="el-GR"/>
              </w:rPr>
              <w:t>13,32%</w:t>
            </w:r>
          </w:p>
        </w:tc>
      </w:tr>
      <w:tr w:rsidR="00496867" w:rsidRPr="00130BC4" w14:paraId="21A7B227" w14:textId="77777777" w:rsidTr="00291468">
        <w:trPr>
          <w:trHeight w:hRule="exact" w:val="599"/>
          <w:jc w:val="center"/>
        </w:trPr>
        <w:tc>
          <w:tcPr>
            <w:tcW w:w="1843" w:type="dxa"/>
            <w:tcBorders>
              <w:left w:val="nil"/>
            </w:tcBorders>
            <w:vAlign w:val="center"/>
          </w:tcPr>
          <w:p w14:paraId="1810A568" w14:textId="77777777" w:rsidR="00496867" w:rsidRPr="00130BC4" w:rsidRDefault="00496867" w:rsidP="00291468">
            <w:pPr>
              <w:widowControl w:val="0"/>
              <w:spacing w:after="0" w:line="240" w:lineRule="auto"/>
              <w:ind w:left="-1"/>
              <w:rPr>
                <w:rFonts w:eastAsia="Century Gothic" w:cs="Century Gothic"/>
                <w:b/>
                <w:sz w:val="21"/>
                <w:szCs w:val="21"/>
              </w:rPr>
            </w:pPr>
            <w:r w:rsidRPr="00130BC4">
              <w:rPr>
                <w:rFonts w:eastAsia="Century Gothic" w:cs="Century Gothic"/>
                <w:b/>
                <w:sz w:val="21"/>
                <w:szCs w:val="21"/>
              </w:rPr>
              <w:t>ΕΤΘΑ</w:t>
            </w:r>
          </w:p>
        </w:tc>
        <w:tc>
          <w:tcPr>
            <w:tcW w:w="2888" w:type="dxa"/>
            <w:vAlign w:val="center"/>
          </w:tcPr>
          <w:p w14:paraId="51A64160" w14:textId="77777777" w:rsidR="00496867" w:rsidRPr="00130BC4" w:rsidRDefault="00496867" w:rsidP="00291468">
            <w:pPr>
              <w:spacing w:after="0" w:line="240" w:lineRule="auto"/>
              <w:jc w:val="center"/>
              <w:rPr>
                <w:sz w:val="21"/>
                <w:szCs w:val="21"/>
                <w:lang w:val="el-GR"/>
              </w:rPr>
            </w:pPr>
            <w:r w:rsidRPr="00130BC4">
              <w:rPr>
                <w:sz w:val="21"/>
                <w:szCs w:val="21"/>
                <w:lang w:val="el-GR"/>
              </w:rPr>
              <w:t>€10.643.200</w:t>
            </w:r>
          </w:p>
        </w:tc>
        <w:tc>
          <w:tcPr>
            <w:tcW w:w="0" w:type="auto"/>
            <w:vAlign w:val="center"/>
          </w:tcPr>
          <w:p w14:paraId="7226DB5C" w14:textId="77777777" w:rsidR="00496867" w:rsidRPr="00130BC4" w:rsidRDefault="001C7A4A" w:rsidP="00291468">
            <w:pPr>
              <w:spacing w:after="0" w:line="240" w:lineRule="auto"/>
              <w:jc w:val="center"/>
              <w:rPr>
                <w:sz w:val="21"/>
                <w:szCs w:val="21"/>
                <w:lang w:val="el-GR"/>
              </w:rPr>
            </w:pPr>
            <w:r w:rsidRPr="00130BC4">
              <w:rPr>
                <w:sz w:val="21"/>
                <w:szCs w:val="21"/>
                <w:lang w:val="el-GR"/>
              </w:rPr>
              <w:t>1.506.380,50</w:t>
            </w:r>
          </w:p>
        </w:tc>
        <w:tc>
          <w:tcPr>
            <w:tcW w:w="0" w:type="auto"/>
            <w:tcBorders>
              <w:right w:val="nil"/>
            </w:tcBorders>
            <w:vAlign w:val="center"/>
          </w:tcPr>
          <w:p w14:paraId="57BA504E" w14:textId="77777777" w:rsidR="00496867" w:rsidRPr="00130BC4" w:rsidRDefault="001C7A4A" w:rsidP="00291468">
            <w:pPr>
              <w:spacing w:after="0" w:line="240" w:lineRule="auto"/>
              <w:jc w:val="center"/>
              <w:rPr>
                <w:b/>
                <w:sz w:val="21"/>
                <w:szCs w:val="21"/>
                <w:lang w:val="el-GR"/>
              </w:rPr>
            </w:pPr>
            <w:r w:rsidRPr="00130BC4">
              <w:rPr>
                <w:b/>
                <w:sz w:val="21"/>
                <w:szCs w:val="21"/>
                <w:lang w:val="el-GR"/>
              </w:rPr>
              <w:t>14,15%</w:t>
            </w:r>
          </w:p>
        </w:tc>
      </w:tr>
      <w:tr w:rsidR="00496867" w:rsidRPr="00AE1D7A" w14:paraId="52285EBA" w14:textId="77777777" w:rsidTr="00291468">
        <w:trPr>
          <w:trHeight w:hRule="exact" w:val="599"/>
          <w:jc w:val="center"/>
        </w:trPr>
        <w:tc>
          <w:tcPr>
            <w:tcW w:w="1843" w:type="dxa"/>
            <w:tcBorders>
              <w:left w:val="nil"/>
            </w:tcBorders>
            <w:vAlign w:val="center"/>
          </w:tcPr>
          <w:p w14:paraId="396A58A3" w14:textId="77777777" w:rsidR="00496867" w:rsidRPr="00527A90" w:rsidRDefault="00496867" w:rsidP="00291468">
            <w:pPr>
              <w:widowControl w:val="0"/>
              <w:spacing w:after="0" w:line="240" w:lineRule="auto"/>
              <w:ind w:left="-1"/>
              <w:rPr>
                <w:rFonts w:eastAsia="Century Gothic" w:cs="Century Gothic"/>
                <w:b/>
                <w:sz w:val="21"/>
                <w:szCs w:val="21"/>
              </w:rPr>
            </w:pPr>
            <w:r w:rsidRPr="00130BC4">
              <w:rPr>
                <w:rFonts w:eastAsia="Century Gothic" w:cs="Century Gothic"/>
                <w:b/>
                <w:sz w:val="21"/>
                <w:szCs w:val="21"/>
              </w:rPr>
              <w:t>ΣΥΝΟΛΟ</w:t>
            </w:r>
          </w:p>
        </w:tc>
        <w:tc>
          <w:tcPr>
            <w:tcW w:w="2888" w:type="dxa"/>
            <w:vAlign w:val="center"/>
          </w:tcPr>
          <w:p w14:paraId="3FD73038" w14:textId="77777777" w:rsidR="00496867" w:rsidRPr="00527A90" w:rsidRDefault="00496867" w:rsidP="00291468">
            <w:pPr>
              <w:spacing w:after="0" w:line="240" w:lineRule="auto"/>
              <w:jc w:val="center"/>
              <w:rPr>
                <w:sz w:val="21"/>
                <w:szCs w:val="21"/>
              </w:rPr>
            </w:pPr>
          </w:p>
        </w:tc>
        <w:tc>
          <w:tcPr>
            <w:tcW w:w="0" w:type="auto"/>
            <w:vAlign w:val="center"/>
          </w:tcPr>
          <w:p w14:paraId="3D61A75D" w14:textId="77777777" w:rsidR="00496867" w:rsidRPr="00527A90" w:rsidRDefault="00496867" w:rsidP="00291468">
            <w:pPr>
              <w:spacing w:after="0" w:line="240" w:lineRule="auto"/>
              <w:jc w:val="center"/>
              <w:rPr>
                <w:sz w:val="21"/>
                <w:szCs w:val="21"/>
              </w:rPr>
            </w:pPr>
          </w:p>
        </w:tc>
        <w:tc>
          <w:tcPr>
            <w:tcW w:w="0" w:type="auto"/>
            <w:tcBorders>
              <w:right w:val="nil"/>
            </w:tcBorders>
            <w:vAlign w:val="center"/>
          </w:tcPr>
          <w:p w14:paraId="665E7E83" w14:textId="77777777" w:rsidR="00496867" w:rsidRPr="00527A90" w:rsidRDefault="00496867" w:rsidP="00291468">
            <w:pPr>
              <w:spacing w:after="0" w:line="240" w:lineRule="auto"/>
              <w:jc w:val="center"/>
              <w:rPr>
                <w:b/>
                <w:sz w:val="21"/>
                <w:szCs w:val="21"/>
              </w:rPr>
            </w:pPr>
          </w:p>
        </w:tc>
      </w:tr>
    </w:tbl>
    <w:p w14:paraId="745BDD7D" w14:textId="77777777" w:rsidR="00496867" w:rsidRDefault="00496867" w:rsidP="00845790">
      <w:pPr>
        <w:autoSpaceDE w:val="0"/>
        <w:autoSpaceDN w:val="0"/>
        <w:adjustRightInd w:val="0"/>
        <w:spacing w:after="0" w:line="240" w:lineRule="auto"/>
        <w:jc w:val="both"/>
        <w:rPr>
          <w:rFonts w:cs="Calibri"/>
          <w:b/>
          <w:iCs/>
          <w:color w:val="000000"/>
          <w:u w:val="single"/>
          <w:lang w:val="el-GR"/>
        </w:rPr>
      </w:pPr>
    </w:p>
    <w:p w14:paraId="034CF209" w14:textId="77777777" w:rsidR="00496867" w:rsidRDefault="00496867" w:rsidP="00845790">
      <w:pPr>
        <w:autoSpaceDE w:val="0"/>
        <w:autoSpaceDN w:val="0"/>
        <w:adjustRightInd w:val="0"/>
        <w:spacing w:after="0" w:line="240" w:lineRule="auto"/>
        <w:jc w:val="both"/>
        <w:rPr>
          <w:rFonts w:cs="Calibri"/>
          <w:b/>
          <w:iCs/>
          <w:color w:val="000000"/>
          <w:u w:val="single"/>
          <w:lang w:val="el-GR"/>
        </w:rPr>
      </w:pPr>
    </w:p>
    <w:p w14:paraId="39EDECDB" w14:textId="77777777" w:rsidR="003227E1" w:rsidRDefault="003227E1" w:rsidP="00D06EDE">
      <w:pPr>
        <w:autoSpaceDE w:val="0"/>
        <w:autoSpaceDN w:val="0"/>
        <w:adjustRightInd w:val="0"/>
        <w:spacing w:after="0" w:line="240" w:lineRule="auto"/>
        <w:jc w:val="both"/>
        <w:rPr>
          <w:rFonts w:cs="Calibri"/>
          <w:iCs/>
          <w:color w:val="000000"/>
          <w:lang w:val="el-GR"/>
        </w:rPr>
      </w:pPr>
    </w:p>
    <w:p w14:paraId="77A46021" w14:textId="77777777" w:rsidR="003227E1" w:rsidRDefault="00496867" w:rsidP="00D06EDE">
      <w:pPr>
        <w:autoSpaceDE w:val="0"/>
        <w:autoSpaceDN w:val="0"/>
        <w:adjustRightInd w:val="0"/>
        <w:spacing w:after="0" w:line="240" w:lineRule="auto"/>
        <w:jc w:val="both"/>
        <w:rPr>
          <w:rFonts w:cs="Calibri"/>
          <w:iCs/>
          <w:color w:val="000000"/>
          <w:lang w:val="el-GR"/>
        </w:rPr>
      </w:pPr>
      <w:r>
        <w:rPr>
          <w:rFonts w:cs="Calibri"/>
          <w:iCs/>
          <w:color w:val="000000"/>
          <w:lang w:val="el-GR"/>
        </w:rPr>
        <w:br w:type="page"/>
      </w:r>
    </w:p>
    <w:p w14:paraId="7808C945" w14:textId="0D885505" w:rsidR="00537901" w:rsidRPr="0040101F" w:rsidRDefault="00537901" w:rsidP="001D583B">
      <w:pPr>
        <w:pStyle w:val="Heading1"/>
        <w:numPr>
          <w:ilvl w:val="0"/>
          <w:numId w:val="7"/>
        </w:numPr>
        <w:ind w:left="426"/>
        <w:rPr>
          <w:rFonts w:ascii="Calibri" w:hAnsi="Calibri"/>
          <w:lang w:val="el-GR"/>
        </w:rPr>
      </w:pPr>
      <w:bookmarkStart w:id="19" w:name="_Toc483572191"/>
      <w:r w:rsidRPr="00CE30B0">
        <w:rPr>
          <w:rFonts w:ascii="Calibri" w:hAnsi="Calibri" w:cs="Calibri"/>
          <w:caps/>
          <w:smallCaps w:val="0"/>
          <w:lang w:val="el-GR"/>
        </w:rPr>
        <w:lastRenderedPageBreak/>
        <w:t>Μέτρα</w:t>
      </w:r>
      <w:r w:rsidRPr="0040101F">
        <w:rPr>
          <w:rFonts w:ascii="Calibri" w:hAnsi="Calibri"/>
          <w:caps/>
          <w:smallCaps w:val="0"/>
          <w:lang w:val="el-GR"/>
        </w:rPr>
        <w:t xml:space="preserve"> που λήφθηκαν για την τήρηση των εκ των προτέρων αιρεσιμοτήτων που διατυπώνονται στ</w:t>
      </w:r>
      <w:r w:rsidR="005D0392">
        <w:rPr>
          <w:rFonts w:ascii="Calibri" w:hAnsi="Calibri"/>
          <w:caps/>
          <w:smallCaps w:val="0"/>
          <w:lang w:val="el-GR"/>
        </w:rPr>
        <w:t>η</w:t>
      </w:r>
      <w:r w:rsidRPr="0040101F">
        <w:rPr>
          <w:rFonts w:ascii="Calibri" w:hAnsi="Calibri"/>
          <w:caps/>
          <w:smallCaps w:val="0"/>
          <w:lang w:val="el-GR"/>
        </w:rPr>
        <w:t xml:space="preserve"> σύμφων</w:t>
      </w:r>
      <w:r w:rsidR="005D0392">
        <w:rPr>
          <w:rFonts w:ascii="Calibri" w:hAnsi="Calibri"/>
          <w:caps/>
          <w:smallCaps w:val="0"/>
          <w:lang w:val="el-GR"/>
        </w:rPr>
        <w:t>ια</w:t>
      </w:r>
      <w:r w:rsidRPr="0040101F">
        <w:rPr>
          <w:rFonts w:ascii="Calibri" w:hAnsi="Calibri"/>
          <w:caps/>
          <w:smallCaps w:val="0"/>
          <w:lang w:val="el-GR"/>
        </w:rPr>
        <w:t xml:space="preserve"> εταιρικής σχέσης</w:t>
      </w:r>
      <w:bookmarkEnd w:id="19"/>
    </w:p>
    <w:p w14:paraId="041E62DE" w14:textId="77777777" w:rsidR="00537901" w:rsidRPr="00291468" w:rsidRDefault="00537901" w:rsidP="007F59D1">
      <w:pPr>
        <w:spacing w:after="0" w:line="240" w:lineRule="auto"/>
        <w:jc w:val="both"/>
        <w:rPr>
          <w:b/>
          <w:i/>
          <w:lang w:val="el-GR"/>
        </w:rPr>
      </w:pPr>
      <w:r w:rsidRPr="00291468">
        <w:rPr>
          <w:b/>
          <w:i/>
          <w:lang w:val="el-GR"/>
        </w:rPr>
        <w:t>Κατά περίπτωση, γενικές πληροφορίες και αξιολόγηση σχετικά με το αν έτυχαν εφαρμογής, σύμφωνα με το καθορισμένο χρονοδιάγραμμα, τα μέτρα που λήφθηκαν για την τήρηση των εφαρμοστέων εκ των προτέρων αιρεσιμοτήτων που διατυπώνονται στο σύμφωνο εταιρικής σχέσης και δεν είχαν ικανοποιηθεί κατά τον χρόνο έγκρισης του συμφώνου εταιρικής  σχέσης.</w:t>
      </w:r>
    </w:p>
    <w:p w14:paraId="1CC3896F" w14:textId="77777777" w:rsidR="007F59D1" w:rsidRDefault="007F59D1" w:rsidP="007F59D1">
      <w:pPr>
        <w:spacing w:after="0" w:line="240" w:lineRule="auto"/>
        <w:jc w:val="both"/>
        <w:rPr>
          <w:lang w:val="el-GR"/>
        </w:rPr>
      </w:pPr>
    </w:p>
    <w:p w14:paraId="147C364D" w14:textId="5A752E3C" w:rsidR="00C7457D" w:rsidRPr="00C7457D" w:rsidRDefault="00291468" w:rsidP="00C7457D">
      <w:pPr>
        <w:jc w:val="both"/>
        <w:rPr>
          <w:iCs/>
          <w:lang w:val="el-GR"/>
        </w:rPr>
      </w:pPr>
      <w:r>
        <w:rPr>
          <w:lang w:val="el-GR"/>
        </w:rPr>
        <w:t>Σύμφωνα με τις Ετήσιες Εκθέσεις των τεσσάρων Επιχειρησιακών Προγραμμάτων για το 2016, έχουν εκπληρωθεί όλες οι Γενικές και Θεματικές Εκ των Προτέρων Αιρεσιμότητες (ΕΠΑ) που εκκρεμούσαν κατά την έγκριση της ΣΕΣ από την Ευρωπαϊκή Επιτροπή το 2014.</w:t>
      </w:r>
      <w:r w:rsidR="00C7457D" w:rsidRPr="00C7457D">
        <w:rPr>
          <w:lang w:val="el-GR"/>
        </w:rPr>
        <w:t xml:space="preserve"> </w:t>
      </w:r>
    </w:p>
    <w:p w14:paraId="7C3BECAE" w14:textId="77777777" w:rsidR="007F59D1" w:rsidRPr="00130BC4" w:rsidRDefault="007F59D1" w:rsidP="00D36890">
      <w:pPr>
        <w:spacing w:after="120"/>
        <w:jc w:val="both"/>
        <w:rPr>
          <w:b/>
          <w:iCs/>
          <w:lang w:val="el-GR"/>
        </w:rPr>
      </w:pPr>
      <w:r w:rsidRPr="00130BC4">
        <w:rPr>
          <w:b/>
          <w:iCs/>
          <w:lang w:val="el-GR"/>
        </w:rPr>
        <w:t>α) Γ</w:t>
      </w:r>
      <w:r w:rsidR="006C1336" w:rsidRPr="00130BC4">
        <w:rPr>
          <w:b/>
          <w:iCs/>
          <w:lang w:val="el-GR"/>
        </w:rPr>
        <w:t>ΕΝΙΚΕΣ</w:t>
      </w:r>
      <w:r w:rsidRPr="00130BC4">
        <w:rPr>
          <w:b/>
          <w:iCs/>
          <w:lang w:val="el-GR"/>
        </w:rPr>
        <w:t xml:space="preserve"> ΕΠΑ</w:t>
      </w:r>
    </w:p>
    <w:p w14:paraId="21F3BEB5" w14:textId="0E930E3F" w:rsidR="005E1677" w:rsidRDefault="00C7457D" w:rsidP="00C7457D">
      <w:pPr>
        <w:jc w:val="both"/>
        <w:rPr>
          <w:iCs/>
          <w:lang w:val="el-GR"/>
        </w:rPr>
      </w:pPr>
      <w:r w:rsidRPr="00C7457D">
        <w:rPr>
          <w:iCs/>
          <w:lang w:val="el-GR"/>
        </w:rPr>
        <w:t xml:space="preserve">Στο πλαίσιο </w:t>
      </w:r>
      <w:r w:rsidR="00E407DC">
        <w:rPr>
          <w:iCs/>
          <w:lang w:val="el-GR"/>
        </w:rPr>
        <w:t xml:space="preserve">υλοποίησης </w:t>
      </w:r>
      <w:r w:rsidRPr="00C7457D">
        <w:rPr>
          <w:iCs/>
          <w:lang w:val="el-GR"/>
        </w:rPr>
        <w:t>της διαδικασίας ετοιμασίας των Επιχειρησιακών Προγραμμάτων</w:t>
      </w:r>
      <w:r w:rsidR="007F59D1">
        <w:rPr>
          <w:iCs/>
          <w:lang w:val="el-GR"/>
        </w:rPr>
        <w:t>,</w:t>
      </w:r>
      <w:r w:rsidRPr="00C7457D">
        <w:rPr>
          <w:iCs/>
          <w:lang w:val="el-GR"/>
        </w:rPr>
        <w:t xml:space="preserve"> λήφθηκαν τα κατάλληλα μέτρα για την εκπλήρωση των δύο </w:t>
      </w:r>
      <w:r w:rsidRPr="00C7457D">
        <w:rPr>
          <w:b/>
          <w:iCs/>
          <w:lang w:val="el-GR"/>
        </w:rPr>
        <w:t xml:space="preserve">Γενικών </w:t>
      </w:r>
      <w:r w:rsidR="00E407DC">
        <w:rPr>
          <w:b/>
          <w:iCs/>
          <w:lang w:val="el-GR"/>
        </w:rPr>
        <w:t>ΕΠΑ</w:t>
      </w:r>
      <w:r w:rsidRPr="00C7457D">
        <w:rPr>
          <w:iCs/>
          <w:lang w:val="el-GR"/>
        </w:rPr>
        <w:t xml:space="preserve"> που εκκρεμούσαν</w:t>
      </w:r>
      <w:r w:rsidR="00E407DC">
        <w:rPr>
          <w:iCs/>
          <w:lang w:val="el-GR"/>
        </w:rPr>
        <w:t>, οι οποίες</w:t>
      </w:r>
      <w:r w:rsidRPr="00C7457D">
        <w:rPr>
          <w:iCs/>
          <w:lang w:val="el-GR"/>
        </w:rPr>
        <w:t xml:space="preserve"> αφορού</w:t>
      </w:r>
      <w:r w:rsidR="00E407DC">
        <w:rPr>
          <w:iCs/>
          <w:lang w:val="el-GR"/>
        </w:rPr>
        <w:t>σα</w:t>
      </w:r>
      <w:r w:rsidRPr="00C7457D">
        <w:rPr>
          <w:iCs/>
          <w:lang w:val="el-GR"/>
        </w:rPr>
        <w:t xml:space="preserve">ν την ύπαρξη ρυθμίσεων για την αποτελεσματική εφαρμογή της περιβαλλοντικής νομοθεσίας της Ε.Ε. (Γεν. 6) και την ύπαρξη αναγκαίας Στατιστικής βάσης και Συστήματος Δεικτών Αποτελεσμάτων (Γεν. 7). </w:t>
      </w:r>
      <w:r w:rsidR="00CE50D5">
        <w:rPr>
          <w:iCs/>
          <w:lang w:val="el-GR"/>
        </w:rPr>
        <w:t xml:space="preserve">Η Ευρωπαϊκή Επιτροπή επιβεβαίωσε την εκπλήρωση των δύο αυτών Γενικών ΕΠΑ. </w:t>
      </w:r>
    </w:p>
    <w:p w14:paraId="1EE7E406" w14:textId="7B5E6A96" w:rsidR="00C7457D" w:rsidRDefault="00C7457D" w:rsidP="00C7457D">
      <w:pPr>
        <w:jc w:val="both"/>
        <w:rPr>
          <w:iCs/>
          <w:lang w:val="el-GR"/>
        </w:rPr>
      </w:pPr>
      <w:r>
        <w:rPr>
          <w:iCs/>
          <w:lang w:val="el-GR"/>
        </w:rPr>
        <w:t xml:space="preserve">Ειδικά </w:t>
      </w:r>
      <w:r w:rsidR="00E407DC">
        <w:rPr>
          <w:iCs/>
          <w:lang w:val="el-GR"/>
        </w:rPr>
        <w:t>για</w:t>
      </w:r>
      <w:r>
        <w:rPr>
          <w:iCs/>
          <w:lang w:val="el-GR"/>
        </w:rPr>
        <w:t xml:space="preserve"> το ΠΑΑ</w:t>
      </w:r>
      <w:r w:rsidR="007F59D1">
        <w:rPr>
          <w:iCs/>
          <w:lang w:val="el-GR"/>
        </w:rPr>
        <w:t>,</w:t>
      </w:r>
      <w:r>
        <w:rPr>
          <w:iCs/>
          <w:lang w:val="el-GR"/>
        </w:rPr>
        <w:t xml:space="preserve"> σημειώνεται ότι σ</w:t>
      </w:r>
      <w:r w:rsidRPr="00C7457D">
        <w:rPr>
          <w:iCs/>
          <w:lang w:val="el-GR"/>
        </w:rPr>
        <w:t>ύμφωνα με τον Εκτελεστικό Κανονισμό 808/2014 της 17 Ιουλίου 2014</w:t>
      </w:r>
      <w:r w:rsidR="00E407DC">
        <w:rPr>
          <w:iCs/>
          <w:lang w:val="el-GR"/>
        </w:rPr>
        <w:t>,</w:t>
      </w:r>
      <w:r w:rsidRPr="00C7457D">
        <w:rPr>
          <w:iCs/>
          <w:lang w:val="el-GR"/>
        </w:rPr>
        <w:t xml:space="preserve"> ο οποίος καθορίζει τους κανόνες για την εφαρμογή του Κανονισμού 1305/2013 για την στήριξη της αγροτικής ανάπτυξης</w:t>
      </w:r>
      <w:r w:rsidR="00E407DC">
        <w:rPr>
          <w:iCs/>
          <w:lang w:val="el-GR"/>
        </w:rPr>
        <w:t>,</w:t>
      </w:r>
      <w:r w:rsidRPr="00C7457D">
        <w:rPr>
          <w:iCs/>
          <w:lang w:val="el-GR"/>
        </w:rPr>
        <w:t xml:space="preserve"> η Γενική </w:t>
      </w:r>
      <w:r w:rsidR="00E407DC">
        <w:rPr>
          <w:iCs/>
          <w:lang w:val="el-GR"/>
        </w:rPr>
        <w:t>ΕΠΑ</w:t>
      </w:r>
      <w:r w:rsidRPr="00C7457D">
        <w:rPr>
          <w:iCs/>
          <w:lang w:val="el-GR"/>
        </w:rPr>
        <w:t xml:space="preserve"> 7 θεωρείται ως εκπληρωθείσα λόγω της ύπαρξης του Κοινού Πλαισίου Παρακολούθησης και Αξιολόγησης της </w:t>
      </w:r>
      <w:r w:rsidR="00E407DC">
        <w:rPr>
          <w:iCs/>
          <w:lang w:val="el-GR"/>
        </w:rPr>
        <w:t xml:space="preserve">Ευρωπαϊκής </w:t>
      </w:r>
      <w:r w:rsidRPr="00C7457D">
        <w:rPr>
          <w:iCs/>
          <w:lang w:val="el-GR"/>
        </w:rPr>
        <w:t>Επιτροπής</w:t>
      </w:r>
      <w:r w:rsidR="00E407DC">
        <w:rPr>
          <w:iCs/>
          <w:lang w:val="el-GR"/>
        </w:rPr>
        <w:t>.</w:t>
      </w:r>
    </w:p>
    <w:p w14:paraId="41236B7C" w14:textId="77777777" w:rsidR="00CE50D5" w:rsidRPr="00130BC4" w:rsidRDefault="005E1677" w:rsidP="00D36890">
      <w:pPr>
        <w:spacing w:after="120"/>
        <w:jc w:val="both"/>
        <w:rPr>
          <w:b/>
          <w:iCs/>
          <w:lang w:val="el-GR"/>
        </w:rPr>
      </w:pPr>
      <w:r w:rsidRPr="00130BC4">
        <w:rPr>
          <w:b/>
          <w:iCs/>
          <w:lang w:val="el-GR"/>
        </w:rPr>
        <w:t>β) Θ</w:t>
      </w:r>
      <w:r w:rsidR="006C1336" w:rsidRPr="00130BC4">
        <w:rPr>
          <w:b/>
          <w:iCs/>
          <w:lang w:val="el-GR"/>
        </w:rPr>
        <w:t>ΕΜΑΤΙΚΕΣ</w:t>
      </w:r>
      <w:r w:rsidRPr="00130BC4">
        <w:rPr>
          <w:b/>
          <w:iCs/>
          <w:lang w:val="el-GR"/>
        </w:rPr>
        <w:t xml:space="preserve"> ΕΠΑ</w:t>
      </w:r>
    </w:p>
    <w:p w14:paraId="06DF3B75" w14:textId="60C0FEE6" w:rsidR="00CE50D5" w:rsidRDefault="005E1677" w:rsidP="00D36890">
      <w:pPr>
        <w:spacing w:after="120"/>
        <w:jc w:val="both"/>
        <w:rPr>
          <w:iCs/>
          <w:lang w:val="el-GR"/>
        </w:rPr>
      </w:pPr>
      <w:r>
        <w:rPr>
          <w:iCs/>
          <w:lang w:val="el-GR"/>
        </w:rPr>
        <w:t>Κ</w:t>
      </w:r>
      <w:r w:rsidR="00C7457D" w:rsidRPr="00C7457D">
        <w:rPr>
          <w:iCs/>
          <w:lang w:val="el-GR"/>
        </w:rPr>
        <w:t xml:space="preserve">ατά τη διετία 2015-2016 έγιναν όλες οι απαραίτητες ενέργειες για την εκπλήρωση </w:t>
      </w:r>
      <w:r w:rsidR="007F59D1">
        <w:rPr>
          <w:iCs/>
          <w:lang w:val="el-GR"/>
        </w:rPr>
        <w:t xml:space="preserve">και </w:t>
      </w:r>
      <w:r w:rsidR="00C7457D" w:rsidRPr="00C7457D">
        <w:rPr>
          <w:iCs/>
          <w:lang w:val="el-GR"/>
        </w:rPr>
        <w:t xml:space="preserve">των εφαρμοστέων </w:t>
      </w:r>
      <w:r w:rsidR="00C7457D" w:rsidRPr="00C7457D">
        <w:rPr>
          <w:b/>
          <w:iCs/>
          <w:lang w:val="el-GR"/>
        </w:rPr>
        <w:t xml:space="preserve">Θεματικών </w:t>
      </w:r>
      <w:r w:rsidR="00E407DC">
        <w:rPr>
          <w:b/>
          <w:iCs/>
          <w:lang w:val="el-GR"/>
        </w:rPr>
        <w:t>ΕΠΑ</w:t>
      </w:r>
      <w:r w:rsidR="007F59D1">
        <w:rPr>
          <w:iCs/>
          <w:lang w:val="el-GR"/>
        </w:rPr>
        <w:t xml:space="preserve">, οι οποίες </w:t>
      </w:r>
      <w:r w:rsidR="00CE50D5">
        <w:rPr>
          <w:iCs/>
          <w:lang w:val="el-GR"/>
        </w:rPr>
        <w:t>διαφέρουν σε κάθε Επιχειρησιακό Πρόγραμμα ανάλογα με τις Επενδυτικές Προτεραιότητες/Μέτρα που έχουν επιλεγεί από τη Διαχειριστική Αρχή του κάθε ΕΠ</w:t>
      </w:r>
      <w:r w:rsidR="00C7457D" w:rsidRPr="00C7457D">
        <w:rPr>
          <w:iCs/>
          <w:lang w:val="el-GR"/>
        </w:rPr>
        <w:t>.</w:t>
      </w:r>
    </w:p>
    <w:p w14:paraId="3CF8AEF4" w14:textId="03B65A15" w:rsidR="00C7457D" w:rsidRPr="00130BC4" w:rsidRDefault="00CE50D5" w:rsidP="00D36890">
      <w:pPr>
        <w:pStyle w:val="ListParagraph"/>
        <w:numPr>
          <w:ilvl w:val="0"/>
          <w:numId w:val="41"/>
        </w:numPr>
        <w:spacing w:after="120"/>
        <w:ind w:left="426" w:hanging="426"/>
        <w:jc w:val="both"/>
        <w:rPr>
          <w:i/>
          <w:iCs/>
          <w:u w:val="single"/>
          <w:lang w:val="el-GR"/>
        </w:rPr>
      </w:pPr>
      <w:r w:rsidRPr="00130BC4">
        <w:rPr>
          <w:i/>
          <w:iCs/>
          <w:u w:val="single"/>
          <w:lang w:val="el-GR"/>
        </w:rPr>
        <w:t>ΕΠ Ανταγωνιστικότητα και Αειφόρος Ανάπτυξη</w:t>
      </w:r>
      <w:r w:rsidR="00C7457D" w:rsidRPr="00130BC4">
        <w:rPr>
          <w:i/>
          <w:iCs/>
          <w:u w:val="single"/>
          <w:lang w:val="el-GR"/>
        </w:rPr>
        <w:t xml:space="preserve">  </w:t>
      </w:r>
    </w:p>
    <w:p w14:paraId="2B5C8A01" w14:textId="7D0D6E74" w:rsidR="00C7457D" w:rsidRPr="00C7457D" w:rsidRDefault="00CE50D5" w:rsidP="00D36890">
      <w:pPr>
        <w:spacing w:after="120"/>
        <w:jc w:val="both"/>
        <w:rPr>
          <w:iCs/>
          <w:lang w:val="el-GR"/>
        </w:rPr>
      </w:pPr>
      <w:r>
        <w:rPr>
          <w:iCs/>
          <w:lang w:val="el-GR"/>
        </w:rPr>
        <w:t>Κατά την έγκριση του ΕΠ τον Δεκέμβριο του 2014, υπήρχαν σε εκκρεμότητα οι πιο κάτω Θεματικές ΕΠΑ</w:t>
      </w:r>
      <w:r w:rsidR="00C7457D" w:rsidRPr="00C7457D">
        <w:rPr>
          <w:iCs/>
          <w:lang w:val="el-GR"/>
        </w:rPr>
        <w:t>:</w:t>
      </w:r>
    </w:p>
    <w:p w14:paraId="18270728" w14:textId="77777777" w:rsidR="00C7457D" w:rsidRPr="005D0392" w:rsidRDefault="00C7457D" w:rsidP="00D36890">
      <w:pPr>
        <w:numPr>
          <w:ilvl w:val="0"/>
          <w:numId w:val="32"/>
        </w:numPr>
        <w:spacing w:after="120"/>
        <w:ind w:left="567"/>
        <w:jc w:val="both"/>
        <w:rPr>
          <w:iCs/>
          <w:lang w:val="el-GR"/>
        </w:rPr>
      </w:pPr>
      <w:r w:rsidRPr="005D0392">
        <w:rPr>
          <w:b/>
          <w:lang w:val="el-GR"/>
        </w:rPr>
        <w:t>1.1. Έρευνα και Καινοτομία</w:t>
      </w:r>
      <w:r w:rsidRPr="00C7457D">
        <w:rPr>
          <w:lang w:val="el-GR"/>
        </w:rPr>
        <w:t xml:space="preserve">: </w:t>
      </w:r>
      <w:r w:rsidRPr="005D0392">
        <w:rPr>
          <w:lang w:val="el-GR"/>
        </w:rPr>
        <w:t>Η ύπαρξη εθνικής στρατηγικής έξυπνης εξειδίκευσης, σύμφωνα με το εθνικό πρόγραμμα μεταρρυθμίσεων, με στόχο τη μόχλευση ιδιωτικών δαπανών έρευνας και καινοτομίας, η οποία να συνάδει με τα χαρακτηριστικά αποδοτικών εθνικών ή περιφερειακών συστημάτων έρευνας και καινοτομίας.</w:t>
      </w:r>
    </w:p>
    <w:p w14:paraId="5BE86D6A" w14:textId="6B06200E" w:rsidR="00C7457D" w:rsidRPr="00130BC4" w:rsidRDefault="00C7457D" w:rsidP="00D36890">
      <w:pPr>
        <w:numPr>
          <w:ilvl w:val="0"/>
          <w:numId w:val="32"/>
        </w:numPr>
        <w:spacing w:after="120"/>
        <w:ind w:left="567"/>
        <w:jc w:val="both"/>
        <w:rPr>
          <w:lang w:val="el-GR"/>
        </w:rPr>
      </w:pPr>
      <w:r w:rsidRPr="00130BC4">
        <w:rPr>
          <w:b/>
          <w:iCs/>
          <w:lang w:val="el-GR"/>
        </w:rPr>
        <w:t xml:space="preserve">1.2 </w:t>
      </w:r>
      <w:r w:rsidRPr="00130BC4">
        <w:rPr>
          <w:b/>
          <w:lang w:val="el-GR"/>
        </w:rPr>
        <w:t>Υποδομές</w:t>
      </w:r>
      <w:r w:rsidRPr="00130BC4">
        <w:rPr>
          <w:b/>
          <w:iCs/>
          <w:lang w:val="el-GR"/>
        </w:rPr>
        <w:t xml:space="preserve"> Έρευνας και Καινοτομίας:</w:t>
      </w:r>
      <w:r w:rsidRPr="00130BC4">
        <w:rPr>
          <w:iCs/>
          <w:lang w:val="el-GR"/>
        </w:rPr>
        <w:t xml:space="preserve"> Η ύπαρξη ενός πολυετούς σχεδίου για την κατάρτιση του προϋπολογισμού και την ιεράρχηση των επενδύσεων</w:t>
      </w:r>
      <w:r w:rsidR="00130BC4" w:rsidRPr="00130BC4">
        <w:rPr>
          <w:iCs/>
          <w:lang w:val="el-GR"/>
        </w:rPr>
        <w:t>.</w:t>
      </w:r>
    </w:p>
    <w:p w14:paraId="7830A7A3" w14:textId="469229CA" w:rsidR="00C7457D" w:rsidRPr="00130BC4" w:rsidRDefault="00C7457D" w:rsidP="00D36890">
      <w:pPr>
        <w:numPr>
          <w:ilvl w:val="0"/>
          <w:numId w:val="32"/>
        </w:numPr>
        <w:spacing w:after="120"/>
        <w:ind w:left="567"/>
        <w:jc w:val="both"/>
        <w:rPr>
          <w:lang w:val="el-GR"/>
        </w:rPr>
      </w:pPr>
      <w:r w:rsidRPr="00130BC4">
        <w:rPr>
          <w:b/>
          <w:iCs/>
          <w:lang w:val="el-GR"/>
        </w:rPr>
        <w:t>2.1. Ψηφιακή ανάπτυξη:</w:t>
      </w:r>
      <w:r w:rsidRPr="00130BC4">
        <w:rPr>
          <w:iCs/>
          <w:lang w:val="el-GR"/>
        </w:rPr>
        <w:t xml:space="preserve"> Η ύπαρξη ενός στρατηγικού πλαισίου πολιτικής για την ψηφιακή ανάπτυξη, με στόχο την ενθάρρυνση των  οικονομικά προσιτών, καλής ποιότητας και διαλειτουργικών ΤΠΕ, μέσω της χρήσης τους από ιδιωτικές και δημόσιες υπηρεσίες αλλά και της αύξησης του βαθμού χρήσης τους από τους πολίτες, περιλαμβανομένων των ευπαθών ομάδων, των επιχειρήσεων και της δημόσιας διοίκησης,   συμπεριλαμβανομένων των πρωτοβουλιών διασυνοριακής συνεργασίας.</w:t>
      </w:r>
    </w:p>
    <w:p w14:paraId="7D9C0E4C" w14:textId="77777777" w:rsidR="00C7457D" w:rsidRPr="00C7457D" w:rsidRDefault="00C7457D" w:rsidP="00D36890">
      <w:pPr>
        <w:numPr>
          <w:ilvl w:val="0"/>
          <w:numId w:val="32"/>
        </w:numPr>
        <w:spacing w:after="120"/>
        <w:ind w:left="567"/>
        <w:jc w:val="both"/>
        <w:rPr>
          <w:iCs/>
          <w:lang w:val="el-GR"/>
        </w:rPr>
      </w:pPr>
      <w:r w:rsidRPr="00C7457D">
        <w:rPr>
          <w:b/>
          <w:iCs/>
          <w:lang w:val="el-GR"/>
        </w:rPr>
        <w:lastRenderedPageBreak/>
        <w:t>2.2. Υποδομή Δικτύων Νέας Γενιάς (NGN):</w:t>
      </w:r>
      <w:r w:rsidRPr="00C7457D">
        <w:rPr>
          <w:iCs/>
          <w:lang w:val="el-GR"/>
        </w:rPr>
        <w:t xml:space="preserve"> Η ύπαρξη εθνικών σχεδίων NGN που λαμβάνουν υπόψη τις περιφερειακές δράσεις για την επίτευξη των στόχων της ΕΕ για πρόσβαση υψηλής ταχύτητας στο διαδίκτυο, με έμφαση σε τομείς όπου η αγορά δεν μπορεί να παρέχει ανοικτή υποδομή με προσιτό κόστος και σε ποιότητα, σύμφωνα με τους κανόνες ανταγωνισμού και κρατικών ενισχύσεων της ΕΕ, και παρέχουν προσβάσιμες</w:t>
      </w:r>
      <w:r w:rsidR="00485CD0">
        <w:rPr>
          <w:iCs/>
          <w:lang w:val="el-GR"/>
        </w:rPr>
        <w:t xml:space="preserve"> υπηρεσίες στις ευάλωτες ομάδες.</w:t>
      </w:r>
    </w:p>
    <w:p w14:paraId="66DD8400" w14:textId="77777777" w:rsidR="00C7457D" w:rsidRPr="00C7457D" w:rsidRDefault="00C7457D" w:rsidP="00D36890">
      <w:pPr>
        <w:numPr>
          <w:ilvl w:val="0"/>
          <w:numId w:val="32"/>
        </w:numPr>
        <w:spacing w:after="120"/>
        <w:ind w:left="567"/>
        <w:jc w:val="both"/>
        <w:rPr>
          <w:iCs/>
          <w:lang w:val="el-GR"/>
        </w:rPr>
      </w:pPr>
      <w:r w:rsidRPr="00C7457D">
        <w:rPr>
          <w:b/>
          <w:iCs/>
          <w:lang w:val="el-GR"/>
        </w:rPr>
        <w:t>3.1. Επιχειρηματικότητα:</w:t>
      </w:r>
      <w:r w:rsidRPr="00C7457D">
        <w:rPr>
          <w:iCs/>
          <w:lang w:val="el-GR"/>
        </w:rPr>
        <w:t xml:space="preserve"> Έχουν υλοποιηθεί ειδικές δράσεις ώστε να στηριχθεί η  προώθηση της επιχειρηματικότητας, λαμβανομένης υπόψη της Πρωτοβουλίας SmallBusinessAct (SBA).</w:t>
      </w:r>
    </w:p>
    <w:p w14:paraId="5B1DE0B8" w14:textId="77777777" w:rsidR="00C7457D" w:rsidRPr="00C7457D" w:rsidRDefault="00C7457D" w:rsidP="00D36890">
      <w:pPr>
        <w:numPr>
          <w:ilvl w:val="0"/>
          <w:numId w:val="32"/>
        </w:numPr>
        <w:spacing w:after="120"/>
        <w:ind w:left="567"/>
        <w:jc w:val="both"/>
        <w:rPr>
          <w:iCs/>
          <w:lang w:val="el-GR"/>
        </w:rPr>
      </w:pPr>
      <w:r w:rsidRPr="00C7457D">
        <w:rPr>
          <w:b/>
          <w:iCs/>
          <w:lang w:val="el-GR"/>
        </w:rPr>
        <w:t>5.1. Πρόληψη και διαχείριση κινδύνων:</w:t>
      </w:r>
      <w:r w:rsidRPr="00C7457D">
        <w:rPr>
          <w:iCs/>
          <w:lang w:val="el-GR"/>
        </w:rPr>
        <w:t xml:space="preserve"> Η ύπαρξη εθνικών εκτιμήσεων κινδύνου για τη διαχείριση (φυσικών) καταστροφών, λαμβάνοντας υπόψη την προσαρμογή στην κλιματική αλλαγή</w:t>
      </w:r>
    </w:p>
    <w:p w14:paraId="2442E230" w14:textId="1E8FBDB1" w:rsidR="00C7457D" w:rsidRPr="00C7457D" w:rsidRDefault="00C7457D" w:rsidP="00D36890">
      <w:pPr>
        <w:numPr>
          <w:ilvl w:val="0"/>
          <w:numId w:val="32"/>
        </w:numPr>
        <w:spacing w:after="120"/>
        <w:ind w:left="567"/>
        <w:jc w:val="both"/>
        <w:rPr>
          <w:iCs/>
          <w:lang w:val="el-GR"/>
        </w:rPr>
      </w:pPr>
      <w:r w:rsidRPr="00C7457D">
        <w:rPr>
          <w:b/>
          <w:iCs/>
          <w:lang w:val="el-GR"/>
        </w:rPr>
        <w:t xml:space="preserve">6.1. Τομέας υδάτων: </w:t>
      </w:r>
      <w:r w:rsidRPr="00C7457D">
        <w:rPr>
          <w:iCs/>
          <w:lang w:val="el-GR"/>
        </w:rPr>
        <w:t>Η ύπαρξη α) πολιτικής τιμολόγησης του νερού η οποία παρέχει επαρκή κίνητρα στους χρήστες αποδοτική χρήση των υδάτινων πόρων και β) επαρκούς συνεισφοράς των διαφόρων χρήσεων του νερού στην ανάκτηση του κόστους των υπηρεσιών ύδρευσης με συντελεστή που καθορίζεται στο εγκεκριμένο σχέδιο διαχείρισης λεκάνης ποταμού για τις επενδύσεις που υποστηρίζονται από τα προγράμματα.</w:t>
      </w:r>
    </w:p>
    <w:p w14:paraId="34EC2221" w14:textId="77777777" w:rsidR="00C7457D" w:rsidRPr="00C7457D" w:rsidRDefault="00C7457D" w:rsidP="00D36890">
      <w:pPr>
        <w:numPr>
          <w:ilvl w:val="0"/>
          <w:numId w:val="32"/>
        </w:numPr>
        <w:spacing w:after="120"/>
        <w:ind w:left="567"/>
        <w:jc w:val="both"/>
        <w:rPr>
          <w:iCs/>
          <w:lang w:val="el-GR"/>
        </w:rPr>
      </w:pPr>
      <w:r w:rsidRPr="00C7457D">
        <w:rPr>
          <w:b/>
          <w:iCs/>
          <w:lang w:val="el-GR"/>
        </w:rPr>
        <w:t xml:space="preserve">6.2. Τομέας αποβλήτων: </w:t>
      </w:r>
      <w:r w:rsidRPr="00C7457D">
        <w:rPr>
          <w:iCs/>
          <w:lang w:val="el-GR"/>
        </w:rPr>
        <w:t>Προώθηση οικονομικά και περιβαλλοντικά βιώσιμων επενδύσεων στον τομέα των αποβλήτων, ιδίως με την ανάπτυξη σχεδίων διαχείρισης αποβλήτων, σύμφωνα με την Οδηγία 2008/98/ΕΚ περί των στερεών αποβλήτων καθώς και με την ιεράρχηση των αποβλήτων.</w:t>
      </w:r>
    </w:p>
    <w:p w14:paraId="61E62BE5" w14:textId="77777777" w:rsidR="00C7457D" w:rsidRPr="00C7457D" w:rsidRDefault="00C7457D" w:rsidP="00D36890">
      <w:pPr>
        <w:numPr>
          <w:ilvl w:val="0"/>
          <w:numId w:val="32"/>
        </w:numPr>
        <w:spacing w:after="120"/>
        <w:ind w:left="567"/>
        <w:jc w:val="both"/>
        <w:rPr>
          <w:iCs/>
          <w:lang w:val="el-GR"/>
        </w:rPr>
      </w:pPr>
      <w:r w:rsidRPr="00C7457D">
        <w:rPr>
          <w:b/>
          <w:iCs/>
          <w:lang w:val="el-GR"/>
        </w:rPr>
        <w:t>9.1 Η ύπαρξη και η εφαρμογή εθνικού στρατηγικού πλαισίου πολιτικής για τη μείωση της φτώχειας</w:t>
      </w:r>
      <w:r w:rsidRPr="00C7457D">
        <w:rPr>
          <w:iCs/>
          <w:lang w:val="el-GR"/>
        </w:rPr>
        <w:t xml:space="preserve"> με στόχο την ενεργητική ένταξη των ατόμων που είναι αποκλεισμένα από την αγορά εργασίας, σύμφωνα με τις Κατευθυντήριες Γραμμές για την Απασχόληση</w:t>
      </w:r>
      <w:r w:rsidR="00485CD0">
        <w:rPr>
          <w:iCs/>
          <w:lang w:val="el-GR"/>
        </w:rPr>
        <w:t>.</w:t>
      </w:r>
    </w:p>
    <w:p w14:paraId="562EDD36" w14:textId="77777777" w:rsidR="00485CD0" w:rsidRDefault="00485CD0" w:rsidP="00D36890">
      <w:pPr>
        <w:spacing w:after="0"/>
        <w:jc w:val="both"/>
        <w:rPr>
          <w:iCs/>
          <w:lang w:val="el-GR"/>
        </w:rPr>
      </w:pPr>
      <w:r>
        <w:rPr>
          <w:iCs/>
          <w:lang w:val="el-GR"/>
        </w:rPr>
        <w:t xml:space="preserve">Μέχρι τις 31/12/15 είχαν εκπληρωθεί οι ΕΠΑ 1.1, 1.2, 2.1 και 9.1, μέχρι τις 31/12/16 είχαν εκπληρωθεί οι ΕΠΑ 2.2 και 3.1 και μέσα στο 2017 οι ΕΠΑ 5.1, 6.1 και 6.2. </w:t>
      </w:r>
      <w:r w:rsidR="006C1336">
        <w:rPr>
          <w:iCs/>
          <w:lang w:val="el-GR"/>
        </w:rPr>
        <w:t>Εξαιρουμένων των ΕΠΑ 6.1 και 6.2, η Ευρωπαϊκή Επιτροπή έχει επιβεβαιώσει την εκπλήρωση όλων των προαναφερθέντων Θεματικών ΕΠΑ.</w:t>
      </w:r>
    </w:p>
    <w:p w14:paraId="5EE94578" w14:textId="77777777" w:rsidR="006C1336" w:rsidRDefault="006C1336" w:rsidP="00130BC4">
      <w:pPr>
        <w:spacing w:after="0" w:line="240" w:lineRule="auto"/>
        <w:jc w:val="both"/>
        <w:rPr>
          <w:iCs/>
          <w:lang w:val="el-GR"/>
        </w:rPr>
      </w:pPr>
    </w:p>
    <w:p w14:paraId="361AF92A" w14:textId="3E8A66A9" w:rsidR="006C1336" w:rsidRPr="00130BC4" w:rsidRDefault="006C1336" w:rsidP="00D36890">
      <w:pPr>
        <w:pStyle w:val="ListParagraph"/>
        <w:numPr>
          <w:ilvl w:val="0"/>
          <w:numId w:val="41"/>
        </w:numPr>
        <w:spacing w:after="120"/>
        <w:ind w:left="426" w:hanging="426"/>
        <w:jc w:val="both"/>
        <w:rPr>
          <w:i/>
          <w:iCs/>
          <w:u w:val="single"/>
          <w:lang w:val="el-GR"/>
        </w:rPr>
      </w:pPr>
      <w:r w:rsidRPr="006C1336">
        <w:rPr>
          <w:i/>
          <w:iCs/>
          <w:u w:val="single"/>
          <w:lang w:val="el-GR"/>
        </w:rPr>
        <w:t xml:space="preserve">ΕΠ </w:t>
      </w:r>
      <w:r>
        <w:rPr>
          <w:i/>
          <w:iCs/>
          <w:u w:val="single"/>
          <w:lang w:val="el-GR"/>
        </w:rPr>
        <w:t>Απασχόληση, Ανθρώπινοι Πόροι και Κοινωνική Συνοχή</w:t>
      </w:r>
    </w:p>
    <w:p w14:paraId="0CF4706E" w14:textId="5DA2BA96" w:rsidR="00C7457D" w:rsidRPr="00C7457D" w:rsidRDefault="006C1336" w:rsidP="00D36890">
      <w:pPr>
        <w:spacing w:after="120"/>
        <w:jc w:val="both"/>
        <w:rPr>
          <w:lang w:val="el-GR"/>
        </w:rPr>
      </w:pPr>
      <w:r>
        <w:rPr>
          <w:iCs/>
          <w:lang w:val="el-GR"/>
        </w:rPr>
        <w:t>Κατά την έγκριση του ΕΠ τον Φεβρουάριο του 2015, υπήρχαν σε εκκρεμότητα οι πιο κάτω Θεματικές ΕΠΑ</w:t>
      </w:r>
      <w:r w:rsidRPr="00C7457D">
        <w:rPr>
          <w:iCs/>
          <w:lang w:val="el-GR"/>
        </w:rPr>
        <w:t>:</w:t>
      </w:r>
      <w:r w:rsidR="00130BC4">
        <w:rPr>
          <w:lang w:val="el-GR"/>
        </w:rPr>
        <w:t xml:space="preserve"> </w:t>
      </w:r>
    </w:p>
    <w:p w14:paraId="1889F58B" w14:textId="039F0975" w:rsidR="00C7457D" w:rsidRPr="005D0392" w:rsidRDefault="006C1336" w:rsidP="00D36890">
      <w:pPr>
        <w:numPr>
          <w:ilvl w:val="0"/>
          <w:numId w:val="33"/>
        </w:numPr>
        <w:spacing w:after="120"/>
        <w:ind w:left="567"/>
        <w:jc w:val="both"/>
        <w:rPr>
          <w:lang w:val="el-GR"/>
        </w:rPr>
      </w:pPr>
      <w:r w:rsidRPr="006C1336">
        <w:rPr>
          <w:b/>
          <w:lang w:val="el-GR"/>
        </w:rPr>
        <w:t>8.6</w:t>
      </w:r>
      <w:r>
        <w:rPr>
          <w:b/>
          <w:lang w:val="el-GR"/>
        </w:rPr>
        <w:t xml:space="preserve"> Η </w:t>
      </w:r>
      <w:r w:rsidRPr="006C1336">
        <w:rPr>
          <w:b/>
          <w:lang w:val="el-GR"/>
        </w:rPr>
        <w:t>ύ</w:t>
      </w:r>
      <w:r w:rsidR="00C7457D" w:rsidRPr="006C1336">
        <w:rPr>
          <w:b/>
          <w:lang w:val="el-GR"/>
        </w:rPr>
        <w:t>παρξη συνολικού στρατηγικού πλαισίου πολιτικής για την επίτευξη των στόχων του Πακέτου για την Απασχόληση των Νέων</w:t>
      </w:r>
      <w:r w:rsidR="00C7457D" w:rsidRPr="005D0392">
        <w:rPr>
          <w:lang w:val="el-GR"/>
        </w:rPr>
        <w:t xml:space="preserve"> και συγκεκριμένα τη θέσπιση Σχεδίου Εγγυήσεων για τους Νέους σύμφωνα με τη σύσταση του Συμβουλίου</w:t>
      </w:r>
      <w:r>
        <w:rPr>
          <w:lang w:val="el-GR"/>
        </w:rPr>
        <w:t>.</w:t>
      </w:r>
      <w:r w:rsidR="00C7457D" w:rsidRPr="005D0392">
        <w:rPr>
          <w:lang w:val="el-GR"/>
        </w:rPr>
        <w:t xml:space="preserve"> </w:t>
      </w:r>
    </w:p>
    <w:p w14:paraId="7F9D9734" w14:textId="6A3F312E" w:rsidR="00C7457D" w:rsidRPr="005D0392" w:rsidRDefault="006C1336" w:rsidP="00D36890">
      <w:pPr>
        <w:numPr>
          <w:ilvl w:val="0"/>
          <w:numId w:val="33"/>
        </w:numPr>
        <w:spacing w:after="120"/>
        <w:ind w:left="567"/>
        <w:jc w:val="both"/>
        <w:rPr>
          <w:lang w:val="el-GR"/>
        </w:rPr>
      </w:pPr>
      <w:r w:rsidRPr="006C1336">
        <w:rPr>
          <w:b/>
          <w:lang w:val="el-GR"/>
        </w:rPr>
        <w:t>9.1</w:t>
      </w:r>
      <w:r>
        <w:rPr>
          <w:b/>
          <w:lang w:val="el-GR"/>
        </w:rPr>
        <w:t xml:space="preserve"> Η ύ</w:t>
      </w:r>
      <w:r w:rsidR="00C7457D" w:rsidRPr="006C1336">
        <w:rPr>
          <w:b/>
          <w:lang w:val="el-GR"/>
        </w:rPr>
        <w:t>παρξη και εφαρμογή εθνικού στρατηγικού πλαισίου πολιτικής για τη μείωση της φτώχειας</w:t>
      </w:r>
      <w:r w:rsidR="00C7457D" w:rsidRPr="005D0392">
        <w:rPr>
          <w:lang w:val="el-GR"/>
        </w:rPr>
        <w:t>, που στοχεύει στην ενεργητική ένταξη των ατόμων που είναι αποκλεισμένα από την αγορά εργασίας σύμφωνα με τις Κατευθυντήριες Γραμμές για την Απασχόληση</w:t>
      </w:r>
      <w:r>
        <w:rPr>
          <w:lang w:val="el-GR"/>
        </w:rPr>
        <w:t>.</w:t>
      </w:r>
      <w:r w:rsidR="00C7457D" w:rsidRPr="005D0392">
        <w:rPr>
          <w:lang w:val="el-GR"/>
        </w:rPr>
        <w:t xml:space="preserve"> </w:t>
      </w:r>
    </w:p>
    <w:p w14:paraId="5BBEB18E" w14:textId="069934DB" w:rsidR="00C7457D" w:rsidRPr="005D0392" w:rsidRDefault="006C1336" w:rsidP="00D36890">
      <w:pPr>
        <w:numPr>
          <w:ilvl w:val="0"/>
          <w:numId w:val="33"/>
        </w:numPr>
        <w:spacing w:after="120"/>
        <w:ind w:left="567"/>
        <w:jc w:val="both"/>
        <w:rPr>
          <w:lang w:val="el-GR"/>
        </w:rPr>
      </w:pPr>
      <w:r w:rsidRPr="006C1336">
        <w:rPr>
          <w:b/>
          <w:lang w:val="el-GR"/>
        </w:rPr>
        <w:t>10.4</w:t>
      </w:r>
      <w:r>
        <w:rPr>
          <w:b/>
          <w:lang w:val="el-GR"/>
        </w:rPr>
        <w:t xml:space="preserve"> Η ύ</w:t>
      </w:r>
      <w:r w:rsidR="00C7457D" w:rsidRPr="006C1336">
        <w:rPr>
          <w:b/>
          <w:lang w:val="el-GR"/>
        </w:rPr>
        <w:t>παρξη εθνικού στρατηγικού πλαισίου πολιτικής για την αύξηση της ποιότητας και της αποτελεσματικότητας των Συστημάτων Επαγγελματικής Εκπαίδευσης και Κατάρτισης</w:t>
      </w:r>
      <w:r w:rsidR="00C7457D" w:rsidRPr="005D0392">
        <w:rPr>
          <w:lang w:val="el-GR"/>
        </w:rPr>
        <w:t>.</w:t>
      </w:r>
    </w:p>
    <w:p w14:paraId="3DAE849B" w14:textId="77777777" w:rsidR="00C7457D" w:rsidRPr="00C7457D" w:rsidRDefault="006C1336" w:rsidP="00C7457D">
      <w:pPr>
        <w:jc w:val="both"/>
        <w:rPr>
          <w:lang w:val="el-GR"/>
        </w:rPr>
      </w:pPr>
      <w:r>
        <w:rPr>
          <w:iCs/>
          <w:lang w:val="el-GR"/>
        </w:rPr>
        <w:t xml:space="preserve">Μέχρι τις 31/12/15 είχαν εκπληρωθεί </w:t>
      </w:r>
      <w:r w:rsidR="00724B5E">
        <w:rPr>
          <w:iCs/>
          <w:lang w:val="el-GR"/>
        </w:rPr>
        <w:t>και επιβεβαιωθεί από την Ευρωπαϊκή Επιτροπή όλες οι Θεματικές ΕΠΑ που εκκρεμούσαν</w:t>
      </w:r>
      <w:r>
        <w:rPr>
          <w:iCs/>
          <w:lang w:val="el-GR"/>
        </w:rPr>
        <w:t>.</w:t>
      </w:r>
    </w:p>
    <w:p w14:paraId="3993A81B" w14:textId="71ED16CF" w:rsidR="00C7457D" w:rsidRDefault="00C7457D" w:rsidP="00D36890">
      <w:pPr>
        <w:spacing w:after="0" w:line="240" w:lineRule="auto"/>
        <w:jc w:val="both"/>
        <w:rPr>
          <w:iCs/>
          <w:lang w:val="el-GR"/>
        </w:rPr>
      </w:pPr>
    </w:p>
    <w:p w14:paraId="2F90F0F8" w14:textId="77777777" w:rsidR="00D36890" w:rsidRPr="00D36890" w:rsidRDefault="00D36890" w:rsidP="00D36890">
      <w:pPr>
        <w:spacing w:after="0" w:line="240" w:lineRule="auto"/>
        <w:jc w:val="both"/>
        <w:rPr>
          <w:iCs/>
          <w:lang w:val="el-GR"/>
        </w:rPr>
      </w:pPr>
    </w:p>
    <w:p w14:paraId="70A4E5DA" w14:textId="7BEDEA15" w:rsidR="00724B5E" w:rsidRPr="00130BC4" w:rsidRDefault="00724B5E" w:rsidP="00130BC4">
      <w:pPr>
        <w:pStyle w:val="ListParagraph"/>
        <w:numPr>
          <w:ilvl w:val="0"/>
          <w:numId w:val="41"/>
        </w:numPr>
        <w:ind w:left="426" w:hanging="426"/>
        <w:jc w:val="both"/>
        <w:rPr>
          <w:i/>
          <w:iCs/>
          <w:u w:val="single"/>
          <w:lang w:val="el-GR"/>
        </w:rPr>
      </w:pPr>
      <w:r>
        <w:rPr>
          <w:i/>
          <w:iCs/>
          <w:u w:val="single"/>
          <w:lang w:val="el-GR"/>
        </w:rPr>
        <w:lastRenderedPageBreak/>
        <w:t>Πρόγραμμα Αγροτικής Ανάπτυξης</w:t>
      </w:r>
    </w:p>
    <w:p w14:paraId="0112D86E" w14:textId="77777777" w:rsidR="00C7457D" w:rsidRDefault="00724B5E" w:rsidP="00724B5E">
      <w:pPr>
        <w:jc w:val="both"/>
        <w:rPr>
          <w:iCs/>
          <w:lang w:val="el-GR"/>
        </w:rPr>
      </w:pPr>
      <w:r>
        <w:rPr>
          <w:iCs/>
          <w:lang w:val="el-GR"/>
        </w:rPr>
        <w:t xml:space="preserve">Κατά την έγκριση του ΕΠ τον </w:t>
      </w:r>
      <w:r w:rsidR="00B33032">
        <w:rPr>
          <w:iCs/>
          <w:lang w:val="el-GR"/>
        </w:rPr>
        <w:t>Δεκέμβριο του 2015</w:t>
      </w:r>
      <w:r>
        <w:rPr>
          <w:iCs/>
          <w:lang w:val="el-GR"/>
        </w:rPr>
        <w:t xml:space="preserve"> υπήρχαν σε εκκρεμότητα οι Θεματικές ΕΠΑ </w:t>
      </w:r>
      <w:r w:rsidR="00B33032">
        <w:rPr>
          <w:iCs/>
          <w:lang w:val="el-GR"/>
        </w:rPr>
        <w:t>3.1</w:t>
      </w:r>
      <w:r w:rsidR="003858CB">
        <w:rPr>
          <w:iCs/>
          <w:lang w:val="el-GR"/>
        </w:rPr>
        <w:t xml:space="preserve"> (Κλιματική Αλλαγή)</w:t>
      </w:r>
      <w:r w:rsidR="00B33032">
        <w:rPr>
          <w:iCs/>
          <w:lang w:val="el-GR"/>
        </w:rPr>
        <w:t xml:space="preserve">, 5.2 </w:t>
      </w:r>
      <w:r w:rsidR="003858CB">
        <w:rPr>
          <w:iCs/>
          <w:lang w:val="el-GR"/>
        </w:rPr>
        <w:t xml:space="preserve">(Τομέας Υδάτων) </w:t>
      </w:r>
      <w:r w:rsidR="00B33032">
        <w:rPr>
          <w:iCs/>
          <w:lang w:val="el-GR"/>
        </w:rPr>
        <w:t>και 6.1</w:t>
      </w:r>
      <w:r w:rsidR="003858CB">
        <w:rPr>
          <w:iCs/>
          <w:lang w:val="el-GR"/>
        </w:rPr>
        <w:t xml:space="preserve"> (Υποδομή Δικτύων Νέας Γενιάς)</w:t>
      </w:r>
      <w:r w:rsidR="00B33032">
        <w:rPr>
          <w:iCs/>
          <w:lang w:val="el-GR"/>
        </w:rPr>
        <w:t>. Οι ΕΠΑ αυτές αντιστοιχούν στις Θεματικές ΕΠΑ 5.1, 6.1 και 2.2 του ΕΠ «Ανταγωνιστικότητα και Αειφόρος Ανάπτυξη», που καταγράφονται στ</w:t>
      </w:r>
      <w:r>
        <w:rPr>
          <w:iCs/>
          <w:lang w:val="el-GR"/>
        </w:rPr>
        <w:t>ο σημείο (ι) πιο πάνω</w:t>
      </w:r>
      <w:r w:rsidR="00B33032">
        <w:rPr>
          <w:iCs/>
          <w:lang w:val="el-GR"/>
        </w:rPr>
        <w:t>.</w:t>
      </w:r>
    </w:p>
    <w:p w14:paraId="4B05ADBB" w14:textId="77777777" w:rsidR="002E17B7" w:rsidRDefault="003858CB" w:rsidP="00724B5E">
      <w:pPr>
        <w:jc w:val="both"/>
        <w:rPr>
          <w:iCs/>
          <w:lang w:val="el-GR"/>
        </w:rPr>
      </w:pPr>
      <w:r>
        <w:rPr>
          <w:iCs/>
          <w:lang w:val="el-GR"/>
        </w:rPr>
        <w:t>Η ΕΠΑ για τις Υποδομές Δικτύων Νέας Γενιάς εκπληρώθηκε μέσα στο 2016, ενώ οι άλλες δύο μέσα στο 2017.</w:t>
      </w:r>
      <w:r w:rsidR="002E17B7" w:rsidRPr="003858CB">
        <w:rPr>
          <w:iCs/>
          <w:lang w:val="el-GR"/>
        </w:rPr>
        <w:t xml:space="preserve"> Εξαιρουμέν</w:t>
      </w:r>
      <w:r>
        <w:rPr>
          <w:iCs/>
          <w:lang w:val="el-GR"/>
        </w:rPr>
        <w:t>ης της ΕΠΑ για τα Ύδατα</w:t>
      </w:r>
      <w:r w:rsidR="002E17B7" w:rsidRPr="003858CB">
        <w:rPr>
          <w:iCs/>
          <w:lang w:val="el-GR"/>
        </w:rPr>
        <w:t>, η Ευρωπαϊκή Επιτροπή έχει επιβεβαιώσει την εκπλήρωση όλων των προαναφερθέντων Θεματικών ΕΠΑ.</w:t>
      </w:r>
    </w:p>
    <w:p w14:paraId="33E6BA80" w14:textId="77777777" w:rsidR="00724B5E" w:rsidRPr="00C7457D" w:rsidRDefault="00724B5E" w:rsidP="00D36890">
      <w:pPr>
        <w:spacing w:after="0" w:line="240" w:lineRule="auto"/>
        <w:jc w:val="both"/>
        <w:rPr>
          <w:iCs/>
          <w:lang w:val="el-GR"/>
        </w:rPr>
      </w:pPr>
    </w:p>
    <w:p w14:paraId="358D7E18" w14:textId="5E785902" w:rsidR="002E17B7" w:rsidRPr="00D36890" w:rsidRDefault="002E17B7" w:rsidP="00D36890">
      <w:pPr>
        <w:pStyle w:val="ListParagraph"/>
        <w:numPr>
          <w:ilvl w:val="0"/>
          <w:numId w:val="41"/>
        </w:numPr>
        <w:ind w:left="426" w:hanging="426"/>
        <w:jc w:val="both"/>
        <w:rPr>
          <w:i/>
          <w:iCs/>
          <w:u w:val="single"/>
          <w:lang w:val="el-GR"/>
        </w:rPr>
      </w:pPr>
      <w:r>
        <w:rPr>
          <w:i/>
          <w:iCs/>
          <w:u w:val="single"/>
          <w:lang w:val="el-GR"/>
        </w:rPr>
        <w:t>ΕΠ Θάλασσα</w:t>
      </w:r>
    </w:p>
    <w:p w14:paraId="612C0567" w14:textId="77777777" w:rsidR="00C7457D" w:rsidRPr="00C7457D" w:rsidRDefault="002E17B7" w:rsidP="00C7457D">
      <w:pPr>
        <w:jc w:val="both"/>
        <w:rPr>
          <w:iCs/>
          <w:lang w:val="el-GR"/>
        </w:rPr>
      </w:pPr>
      <w:r>
        <w:rPr>
          <w:iCs/>
          <w:lang w:val="el-GR"/>
        </w:rPr>
        <w:t xml:space="preserve">Η μοναδική </w:t>
      </w:r>
      <w:r w:rsidR="00C7457D" w:rsidRPr="00C7457D">
        <w:rPr>
          <w:iCs/>
          <w:lang w:val="el-GR"/>
        </w:rPr>
        <w:t>Ειδική εκ των Προτέρων Αιρεσιμότητα</w:t>
      </w:r>
      <w:r>
        <w:rPr>
          <w:iCs/>
          <w:lang w:val="el-GR"/>
        </w:rPr>
        <w:t xml:space="preserve"> που σχετίζεται με το ΕΠ Θάλασσα είναι η εξής</w:t>
      </w:r>
      <w:r w:rsidR="00C7457D" w:rsidRPr="00C7457D">
        <w:rPr>
          <w:iCs/>
          <w:lang w:val="el-GR"/>
        </w:rPr>
        <w:t>:</w:t>
      </w:r>
    </w:p>
    <w:p w14:paraId="70D81ADB" w14:textId="39C9C3B5" w:rsidR="00C7457D" w:rsidRPr="00C7457D" w:rsidRDefault="00C7457D" w:rsidP="00D36890">
      <w:pPr>
        <w:numPr>
          <w:ilvl w:val="0"/>
          <w:numId w:val="33"/>
        </w:numPr>
        <w:ind w:left="567"/>
        <w:jc w:val="both"/>
        <w:rPr>
          <w:iCs/>
          <w:lang w:val="el-GR"/>
        </w:rPr>
      </w:pPr>
      <w:r w:rsidRPr="00C7457D">
        <w:rPr>
          <w:lang w:val="el-GR"/>
        </w:rPr>
        <w:t xml:space="preserve">1 - </w:t>
      </w:r>
      <w:r w:rsidRPr="005D0392">
        <w:rPr>
          <w:lang w:val="el-GR"/>
        </w:rPr>
        <w:t>Έκθεση</w:t>
      </w:r>
      <w:r w:rsidRPr="00C7457D">
        <w:rPr>
          <w:iCs/>
          <w:lang w:val="el-GR"/>
        </w:rPr>
        <w:t xml:space="preserve"> Αλιευτική Ικανότητας: Η έκθεση αλιευτικής ικανότητας για το 2015 υποβλήθηκε εντός του προβλεπόμενου από τη νομοθεσία χρονικού πλαισίου. Στην έκθεση έχουν συμπεριληφθεί όλες οι παρατηρήσεις της Ε. Επιτροπής και έχουν αποφευχθεί τα λάθη της έκθεσης του έτους 2014. Η έκθεση του 2015 έχει ετοιμαστεί με βάση τις κοινές κατευθυντήριες γραμμές [COM(2014)545]. Ως εκ τούτου θεωρείται ότι πλέον έχουν εκπληρωθεί οι όροι και προϋποθέσεις που έχουν τεθεί στο σχέδιο δράσης και καλύπτεται πλήρως η εκ των προτέρων αιρεσιμότητα. Επιπρόσθετα έχει σταλεί και σχετική επιστολή από τις αρμόδιες αρχές της Κυπριακής Δημοκρατίας, μέσω SFC για την εκπλήρωση της εκ των προτέρων αιρεσιμότητας.</w:t>
      </w:r>
    </w:p>
    <w:p w14:paraId="2D8B269E" w14:textId="0C65C249" w:rsidR="00C7457D" w:rsidRPr="00C7457D" w:rsidRDefault="00C7457D" w:rsidP="00D36890">
      <w:pPr>
        <w:numPr>
          <w:ilvl w:val="0"/>
          <w:numId w:val="33"/>
        </w:numPr>
        <w:ind w:left="567"/>
        <w:jc w:val="both"/>
        <w:rPr>
          <w:iCs/>
          <w:lang w:val="el-GR"/>
        </w:rPr>
      </w:pPr>
      <w:r w:rsidRPr="00C7457D">
        <w:rPr>
          <w:iCs/>
          <w:lang w:val="el-GR"/>
        </w:rPr>
        <w:t>2- Δημιουργία μέχρι το 2014 πολυετούς εθνικού στρατηγικού σχεδίου για την υδατοκαλλιέργεια</w:t>
      </w:r>
      <w:r w:rsidR="003858CB">
        <w:rPr>
          <w:iCs/>
          <w:lang w:val="el-GR"/>
        </w:rPr>
        <w:t>.</w:t>
      </w:r>
    </w:p>
    <w:p w14:paraId="4E5533F8" w14:textId="36DB2198" w:rsidR="00C7457D" w:rsidRPr="00C7457D" w:rsidRDefault="00C7457D" w:rsidP="00D36890">
      <w:pPr>
        <w:numPr>
          <w:ilvl w:val="0"/>
          <w:numId w:val="33"/>
        </w:numPr>
        <w:ind w:left="567"/>
        <w:jc w:val="both"/>
        <w:rPr>
          <w:iCs/>
          <w:lang w:val="el-GR"/>
        </w:rPr>
      </w:pPr>
      <w:r w:rsidRPr="00C7457D">
        <w:rPr>
          <w:iCs/>
          <w:lang w:val="el-GR"/>
        </w:rPr>
        <w:t>3 – Διοικητική ικανότητα: υπάρχει διαθέσιμη διοικητική ικανότητα ώστε να επιτυγχάνεται συμμόρφωση με τις απαιτήσεις των δεδομένων για τη διαχείριση της αλιείας</w:t>
      </w:r>
      <w:r w:rsidR="003858CB">
        <w:rPr>
          <w:iCs/>
          <w:lang w:val="el-GR"/>
        </w:rPr>
        <w:t>.</w:t>
      </w:r>
      <w:r w:rsidRPr="00C7457D">
        <w:rPr>
          <w:iCs/>
          <w:lang w:val="el-GR"/>
        </w:rPr>
        <w:t>ε</w:t>
      </w:r>
    </w:p>
    <w:p w14:paraId="35B79041" w14:textId="0FA48B1B" w:rsidR="005779A6" w:rsidRDefault="00C7457D" w:rsidP="00D36890">
      <w:pPr>
        <w:numPr>
          <w:ilvl w:val="0"/>
          <w:numId w:val="33"/>
        </w:numPr>
        <w:ind w:left="567"/>
        <w:jc w:val="both"/>
        <w:rPr>
          <w:lang w:val="el-GR"/>
        </w:rPr>
      </w:pPr>
      <w:r w:rsidRPr="00C7457D">
        <w:rPr>
          <w:iCs/>
          <w:lang w:val="el-GR"/>
        </w:rPr>
        <w:t>4 – Διοικητική ικανότητα: υπάρχει διαθέσιμη διοικητική ικανότητα ώστε να επιτυγχάνεται συμμόρφωση με τις ανάγκες της εφαρμογής ενωσιακού συστήματος ελέγχου, επιθεώρησης και επιβολής</w:t>
      </w:r>
      <w:r w:rsidR="003858CB">
        <w:rPr>
          <w:iCs/>
          <w:lang w:val="el-GR"/>
        </w:rPr>
        <w:t>.</w:t>
      </w:r>
    </w:p>
    <w:p w14:paraId="6D5B73C3" w14:textId="0B0F1A9B" w:rsidR="00C7457D" w:rsidRDefault="00D5029B" w:rsidP="00752536">
      <w:pPr>
        <w:jc w:val="both"/>
        <w:rPr>
          <w:lang w:val="el-GR"/>
        </w:rPr>
      </w:pPr>
      <w:r>
        <w:rPr>
          <w:iCs/>
          <w:lang w:val="el-GR"/>
        </w:rPr>
        <w:t>Η πιο πάνω Ειδική ΕΠΑ εκπληρώθηκε στις 31/5/2015 και ως εκ τούτου δεν υπήρχε καμιά εκκρεμούσα ΕΠΑ κατά την έγκριση του ΕΠ Θάλασσα τον Ιούλιο του 2015.</w:t>
      </w:r>
    </w:p>
    <w:p w14:paraId="6874E8AA" w14:textId="63601350" w:rsidR="00420370" w:rsidRPr="00420370" w:rsidRDefault="00420370" w:rsidP="00420370">
      <w:pPr>
        <w:jc w:val="both"/>
        <w:rPr>
          <w:iCs/>
          <w:lang w:val="el-GR"/>
        </w:rPr>
      </w:pPr>
      <w:r w:rsidRPr="00420370">
        <w:rPr>
          <w:iCs/>
          <w:lang w:val="el-GR"/>
        </w:rPr>
        <w:t>Οι πίνακες που ακολουθούν απαριθμούν τις εν λόγω Γενικές και Θεματικές εκ των προτέρων αιρεσιμότητες και περιλαμβάνουν αναλυτική περιγραφή των κριτηρίων που δεν πληρούνταν</w:t>
      </w:r>
      <w:r w:rsidR="00D5029B">
        <w:rPr>
          <w:iCs/>
          <w:lang w:val="el-GR"/>
        </w:rPr>
        <w:t xml:space="preserve"> κατά την έγκριση των Επιχειρησιακών Προγραμμάτων,</w:t>
      </w:r>
      <w:r w:rsidRPr="00420370">
        <w:rPr>
          <w:iCs/>
          <w:lang w:val="el-GR"/>
        </w:rPr>
        <w:t xml:space="preserve"> καθώς και των μέτρων και ενεργειών που λήφθηκαν για την εκπλήρωσή τους. </w:t>
      </w:r>
    </w:p>
    <w:p w14:paraId="680EA017" w14:textId="77777777" w:rsidR="00420370" w:rsidRDefault="00420370" w:rsidP="00752536">
      <w:pPr>
        <w:jc w:val="both"/>
        <w:rPr>
          <w:lang w:val="el-GR"/>
        </w:rPr>
      </w:pPr>
    </w:p>
    <w:p w14:paraId="1420867F" w14:textId="77777777" w:rsidR="00C05BA7" w:rsidRDefault="00C05BA7" w:rsidP="00537901">
      <w:pPr>
        <w:rPr>
          <w:lang w:val="el-GR"/>
        </w:rPr>
        <w:sectPr w:rsidR="00C05BA7" w:rsidSect="00E94E09">
          <w:footerReference w:type="default" r:id="rId16"/>
          <w:pgSz w:w="12240" w:h="15840" w:code="1"/>
          <w:pgMar w:top="1134" w:right="1418" w:bottom="1134" w:left="1418" w:header="454" w:footer="454" w:gutter="0"/>
          <w:cols w:space="708"/>
          <w:docGrid w:linePitch="360"/>
        </w:sectPr>
      </w:pPr>
    </w:p>
    <w:tbl>
      <w:tblPr>
        <w:tblW w:w="15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2"/>
      </w:tblGrid>
      <w:tr w:rsidR="00C05BA7" w:rsidRPr="00F77DB3" w14:paraId="6F303A60" w14:textId="77777777" w:rsidTr="00DD223D">
        <w:trPr>
          <w:trHeight w:val="1247"/>
          <w:jc w:val="center"/>
        </w:trPr>
        <w:tc>
          <w:tcPr>
            <w:tcW w:w="15222" w:type="dxa"/>
            <w:tcBorders>
              <w:top w:val="nil"/>
              <w:left w:val="nil"/>
              <w:bottom w:val="nil"/>
              <w:right w:val="nil"/>
            </w:tcBorders>
            <w:shd w:val="clear" w:color="auto" w:fill="auto"/>
            <w:vAlign w:val="center"/>
          </w:tcPr>
          <w:p w14:paraId="3ED47E71" w14:textId="61A1805F" w:rsidR="00C05BA7" w:rsidRPr="00BB45CE" w:rsidRDefault="00C05BA7" w:rsidP="00C05BA7">
            <w:pPr>
              <w:spacing w:after="0" w:line="240" w:lineRule="auto"/>
              <w:jc w:val="center"/>
              <w:rPr>
                <w:rFonts w:cs="Calibri"/>
                <w:b/>
                <w:sz w:val="20"/>
                <w:szCs w:val="20"/>
                <w:lang w:val="el-GR"/>
              </w:rPr>
            </w:pPr>
            <w:r w:rsidRPr="002E17B7">
              <w:rPr>
                <w:rFonts w:cs="Calibri"/>
                <w:b/>
                <w:sz w:val="20"/>
                <w:szCs w:val="20"/>
                <w:lang w:val="el-GR"/>
              </w:rPr>
              <w:lastRenderedPageBreak/>
              <w:t xml:space="preserve">ΠΙΝΑΚΑΣ Β: Μέτρα που λήφθηκαν για την τήρηση των εφαρμοστέων </w:t>
            </w:r>
            <w:r w:rsidR="002E17B7" w:rsidRPr="002E17B7">
              <w:rPr>
                <w:rFonts w:cs="Calibri"/>
                <w:b/>
                <w:sz w:val="20"/>
                <w:szCs w:val="20"/>
                <w:lang w:val="el-GR"/>
              </w:rPr>
              <w:t>Γ</w:t>
            </w:r>
            <w:r w:rsidRPr="002E17B7">
              <w:rPr>
                <w:rFonts w:cs="Calibri"/>
                <w:b/>
                <w:sz w:val="20"/>
                <w:szCs w:val="20"/>
                <w:lang w:val="el-GR"/>
              </w:rPr>
              <w:t xml:space="preserve">ενικών </w:t>
            </w:r>
            <w:r w:rsidR="002E17B7" w:rsidRPr="002E17B7">
              <w:rPr>
                <w:rFonts w:cs="Calibri"/>
                <w:b/>
                <w:sz w:val="20"/>
                <w:szCs w:val="20"/>
                <w:lang w:val="el-GR"/>
              </w:rPr>
              <w:t>Ε</w:t>
            </w:r>
            <w:r w:rsidRPr="002E17B7">
              <w:rPr>
                <w:rFonts w:cs="Calibri"/>
                <w:b/>
                <w:sz w:val="20"/>
                <w:szCs w:val="20"/>
                <w:lang w:val="el-GR"/>
              </w:rPr>
              <w:t xml:space="preserve">κ των </w:t>
            </w:r>
            <w:r w:rsidR="002E17B7" w:rsidRPr="002E17B7">
              <w:rPr>
                <w:rFonts w:cs="Calibri"/>
                <w:b/>
                <w:sz w:val="20"/>
                <w:szCs w:val="20"/>
                <w:lang w:val="el-GR"/>
              </w:rPr>
              <w:t>Π</w:t>
            </w:r>
            <w:r w:rsidRPr="002E17B7">
              <w:rPr>
                <w:rFonts w:cs="Calibri"/>
                <w:b/>
                <w:sz w:val="20"/>
                <w:szCs w:val="20"/>
                <w:lang w:val="el-GR"/>
              </w:rPr>
              <w:t xml:space="preserve">ροτέρων </w:t>
            </w:r>
            <w:r w:rsidR="002E17B7" w:rsidRPr="002E17B7">
              <w:rPr>
                <w:rFonts w:cs="Calibri"/>
                <w:b/>
                <w:sz w:val="20"/>
                <w:szCs w:val="20"/>
                <w:lang w:val="el-GR"/>
              </w:rPr>
              <w:t>Α</w:t>
            </w:r>
            <w:r w:rsidRPr="002E17B7">
              <w:rPr>
                <w:rFonts w:cs="Calibri"/>
                <w:b/>
                <w:sz w:val="20"/>
                <w:szCs w:val="20"/>
                <w:lang w:val="el-GR"/>
              </w:rPr>
              <w:t>ιρεσιμοτήτων</w:t>
            </w:r>
            <w:r w:rsidR="00BB45CE" w:rsidRPr="00BB45CE">
              <w:rPr>
                <w:rFonts w:cs="Calibri"/>
                <w:b/>
                <w:sz w:val="20"/>
                <w:szCs w:val="20"/>
                <w:lang w:val="el-GR"/>
              </w:rPr>
              <w:t xml:space="preserve"> </w:t>
            </w:r>
            <w:r w:rsidR="00BB45CE">
              <w:rPr>
                <w:rFonts w:cs="Calibri"/>
                <w:b/>
                <w:sz w:val="20"/>
                <w:szCs w:val="20"/>
                <w:lang w:val="el-GR"/>
              </w:rPr>
              <w:t>– Ταμεία Πολιτικής Συνοχής και ΕΓΤΑΑ</w:t>
            </w:r>
          </w:p>
          <w:p w14:paraId="790399C0" w14:textId="77777777" w:rsidR="00C05BA7" w:rsidRPr="00C05BA7" w:rsidRDefault="00C05BA7" w:rsidP="00C05BA7">
            <w:pPr>
              <w:spacing w:after="0" w:line="240" w:lineRule="auto"/>
              <w:jc w:val="center"/>
              <w:rPr>
                <w:rFonts w:cs="Calibri"/>
                <w:b/>
                <w:sz w:val="20"/>
                <w:szCs w:val="20"/>
                <w:lang w:val="el-GR"/>
              </w:rPr>
            </w:pPr>
          </w:p>
          <w:tbl>
            <w:tblPr>
              <w:tblW w:w="15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843"/>
              <w:gridCol w:w="3260"/>
              <w:gridCol w:w="1134"/>
              <w:gridCol w:w="1418"/>
              <w:gridCol w:w="992"/>
              <w:gridCol w:w="850"/>
              <w:gridCol w:w="1276"/>
              <w:gridCol w:w="1945"/>
            </w:tblGrid>
            <w:tr w:rsidR="00C05BA7" w:rsidRPr="00486EC5" w14:paraId="00F7A62F" w14:textId="77777777" w:rsidTr="00DD223D">
              <w:trPr>
                <w:trHeight w:val="1161"/>
                <w:tblHeader/>
                <w:jc w:val="center"/>
              </w:trPr>
              <w:tc>
                <w:tcPr>
                  <w:tcW w:w="2302" w:type="dxa"/>
                  <w:tcBorders>
                    <w:top w:val="single" w:sz="4" w:space="0" w:color="auto"/>
                    <w:bottom w:val="single" w:sz="4" w:space="0" w:color="auto"/>
                  </w:tcBorders>
                  <w:shd w:val="clear" w:color="auto" w:fill="D9D9D9"/>
                  <w:vAlign w:val="center"/>
                </w:tcPr>
                <w:p w14:paraId="1A2E5FC0"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Γενική εκ των προτέρων αιρεσιμότητα</w:t>
                  </w:r>
                </w:p>
              </w:tc>
              <w:tc>
                <w:tcPr>
                  <w:tcW w:w="1843" w:type="dxa"/>
                  <w:tcBorders>
                    <w:top w:val="single" w:sz="4" w:space="0" w:color="auto"/>
                  </w:tcBorders>
                  <w:shd w:val="clear" w:color="auto" w:fill="D9D9D9"/>
                  <w:vAlign w:val="center"/>
                </w:tcPr>
                <w:p w14:paraId="001C0C1D"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Κριτήρια που δεν</w:t>
                  </w:r>
                </w:p>
                <w:p w14:paraId="4F097353"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πληρούνταν</w:t>
                  </w:r>
                </w:p>
              </w:tc>
              <w:tc>
                <w:tcPr>
                  <w:tcW w:w="3260" w:type="dxa"/>
                  <w:tcBorders>
                    <w:top w:val="single" w:sz="4" w:space="0" w:color="auto"/>
                  </w:tcBorders>
                  <w:shd w:val="clear" w:color="auto" w:fill="D9D9D9"/>
                  <w:vAlign w:val="center"/>
                </w:tcPr>
                <w:p w14:paraId="389A193C"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Ανάληψη Δράσης</w:t>
                  </w:r>
                </w:p>
              </w:tc>
              <w:tc>
                <w:tcPr>
                  <w:tcW w:w="1134" w:type="dxa"/>
                  <w:tcBorders>
                    <w:top w:val="single" w:sz="4" w:space="0" w:color="auto"/>
                  </w:tcBorders>
                  <w:shd w:val="clear" w:color="auto" w:fill="D9D9D9"/>
                  <w:vAlign w:val="center"/>
                </w:tcPr>
                <w:p w14:paraId="0AC6F21C"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Προθεσμία (αναμενόμενη ημερομηνία εκπλήρωσης)</w:t>
                  </w:r>
                </w:p>
              </w:tc>
              <w:tc>
                <w:tcPr>
                  <w:tcW w:w="1418" w:type="dxa"/>
                  <w:tcBorders>
                    <w:top w:val="single" w:sz="4" w:space="0" w:color="auto"/>
                  </w:tcBorders>
                  <w:shd w:val="clear" w:color="auto" w:fill="D9D9D9"/>
                  <w:vAlign w:val="center"/>
                </w:tcPr>
                <w:p w14:paraId="0D42D173"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Αρμόδιοι Φορείς</w:t>
                  </w:r>
                </w:p>
              </w:tc>
              <w:tc>
                <w:tcPr>
                  <w:tcW w:w="992" w:type="dxa"/>
                  <w:tcBorders>
                    <w:top w:val="single" w:sz="4" w:space="0" w:color="auto"/>
                  </w:tcBorders>
                  <w:shd w:val="clear" w:color="auto" w:fill="D9D9D9"/>
                  <w:vAlign w:val="center"/>
                </w:tcPr>
                <w:p w14:paraId="5769E1DF"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Ολοκλήρωση Μέτρου εντός προθεσμίας (Ν/Ό)</w:t>
                  </w:r>
                </w:p>
              </w:tc>
              <w:tc>
                <w:tcPr>
                  <w:tcW w:w="850" w:type="dxa"/>
                  <w:tcBorders>
                    <w:top w:val="single" w:sz="4" w:space="0" w:color="auto"/>
                  </w:tcBorders>
                  <w:shd w:val="clear" w:color="auto" w:fill="D9D9D9"/>
                  <w:vAlign w:val="center"/>
                </w:tcPr>
                <w:p w14:paraId="140B1197"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Εκπλήρωση Κριτηρίου</w:t>
                  </w:r>
                </w:p>
                <w:p w14:paraId="07AE7EB6"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(Ν/Ό)</w:t>
                  </w:r>
                </w:p>
              </w:tc>
              <w:tc>
                <w:tcPr>
                  <w:tcW w:w="1276" w:type="dxa"/>
                  <w:tcBorders>
                    <w:top w:val="single" w:sz="4" w:space="0" w:color="auto"/>
                  </w:tcBorders>
                  <w:shd w:val="clear" w:color="auto" w:fill="D9D9D9"/>
                  <w:vAlign w:val="center"/>
                </w:tcPr>
                <w:p w14:paraId="4C3FD014"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Αναμενόμενη ημερομηνία για πλήρη εφαρμογή των υπολοίπων μέτρων, κατά περίπτωση</w:t>
                  </w:r>
                </w:p>
              </w:tc>
              <w:tc>
                <w:tcPr>
                  <w:tcW w:w="1945" w:type="dxa"/>
                  <w:tcBorders>
                    <w:top w:val="single" w:sz="4" w:space="0" w:color="auto"/>
                  </w:tcBorders>
                  <w:shd w:val="clear" w:color="auto" w:fill="D9D9D9"/>
                  <w:vAlign w:val="center"/>
                </w:tcPr>
                <w:p w14:paraId="471E5F70"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Σχολιασμός</w:t>
                  </w:r>
                </w:p>
                <w:p w14:paraId="73403329" w14:textId="77777777" w:rsidR="00C05BA7" w:rsidRPr="00486EC5" w:rsidRDefault="00C05BA7" w:rsidP="00C05BA7">
                  <w:pPr>
                    <w:snapToGrid w:val="0"/>
                    <w:spacing w:after="0" w:line="240" w:lineRule="auto"/>
                    <w:ind w:left="-113" w:right="-113"/>
                    <w:jc w:val="center"/>
                    <w:rPr>
                      <w:rFonts w:asciiTheme="minorHAnsi" w:hAnsiTheme="minorHAnsi" w:cs="Calibri"/>
                      <w:b/>
                      <w:sz w:val="16"/>
                      <w:szCs w:val="16"/>
                      <w:lang w:val="el-GR"/>
                    </w:rPr>
                  </w:pPr>
                  <w:r w:rsidRPr="00486EC5">
                    <w:rPr>
                      <w:rFonts w:asciiTheme="minorHAnsi" w:hAnsiTheme="minorHAnsi" w:cs="Calibri"/>
                      <w:b/>
                      <w:sz w:val="16"/>
                      <w:szCs w:val="16"/>
                      <w:lang w:val="el-GR"/>
                    </w:rPr>
                    <w:t>(για κάθε μέτρο)</w:t>
                  </w:r>
                </w:p>
              </w:tc>
            </w:tr>
            <w:tr w:rsidR="00C05BA7" w:rsidRPr="00486EC5" w14:paraId="05D6E9EF" w14:textId="77777777" w:rsidTr="00DD223D">
              <w:trPr>
                <w:trHeight w:val="1689"/>
                <w:jc w:val="center"/>
              </w:trPr>
              <w:tc>
                <w:tcPr>
                  <w:tcW w:w="2302" w:type="dxa"/>
                  <w:shd w:val="clear" w:color="auto" w:fill="auto"/>
                </w:tcPr>
                <w:p w14:paraId="37AEF6F9" w14:textId="77777777" w:rsidR="00C05BA7" w:rsidRPr="00486EC5" w:rsidRDefault="00C05BA7" w:rsidP="00C05BA7">
                  <w:pPr>
                    <w:spacing w:before="120" w:after="0" w:line="240" w:lineRule="auto"/>
                    <w:rPr>
                      <w:rFonts w:asciiTheme="minorHAnsi" w:eastAsia="Calibri" w:hAnsiTheme="minorHAnsi" w:cs="Calibri"/>
                      <w:b/>
                      <w:i/>
                      <w:sz w:val="16"/>
                      <w:szCs w:val="16"/>
                      <w:lang w:val="el-GR"/>
                    </w:rPr>
                  </w:pPr>
                  <w:r w:rsidRPr="00486EC5">
                    <w:rPr>
                      <w:rFonts w:asciiTheme="minorHAnsi" w:eastAsia="Calibri" w:hAnsiTheme="minorHAnsi" w:cs="Calibri"/>
                      <w:b/>
                      <w:i/>
                      <w:sz w:val="16"/>
                      <w:szCs w:val="16"/>
                      <w:lang w:val="el-GR"/>
                    </w:rPr>
                    <w:t>6. Περιβαλλοντική νομοθεσία σχετικά με την Εκτίμηση  Περιβαλλοντικών Επιπτώσεων  (ΕΠΕ) και τη Στρατηγική Εκτίμηση Περιβαλλοντικών Επιπτώσεων (ΣΕΠΕ)</w:t>
                  </w:r>
                </w:p>
                <w:p w14:paraId="4E457424" w14:textId="77777777" w:rsidR="00C05BA7" w:rsidRPr="00486EC5" w:rsidRDefault="00C05BA7" w:rsidP="00C05BA7">
                  <w:pPr>
                    <w:spacing w:before="120" w:after="0" w:line="240" w:lineRule="auto"/>
                    <w:rPr>
                      <w:rFonts w:asciiTheme="minorHAnsi" w:eastAsia="Calibri" w:hAnsiTheme="minorHAnsi" w:cs="Calibri"/>
                      <w:b/>
                      <w:i/>
                      <w:sz w:val="16"/>
                      <w:szCs w:val="16"/>
                      <w:lang w:val="el-GR"/>
                    </w:rPr>
                  </w:pPr>
                  <w:r w:rsidRPr="00486EC5">
                    <w:rPr>
                      <w:rFonts w:asciiTheme="minorHAnsi" w:hAnsiTheme="minorHAnsi" w:cs="Calibri"/>
                      <w:sz w:val="16"/>
                      <w:szCs w:val="16"/>
                      <w:lang w:val="el-GR"/>
                    </w:rPr>
                    <w:t>Η ύπαρξη ρυθμίσεων για την αποτελεσματική εφαρμογή της περιβαλλοντικής νομοθεσίας της Ευρωπαϊκής Ένωσης σε σχέση με την ΕΠΑ και τη ΣΠΕ.</w:t>
                  </w:r>
                </w:p>
              </w:tc>
              <w:tc>
                <w:tcPr>
                  <w:tcW w:w="1843" w:type="dxa"/>
                  <w:shd w:val="clear" w:color="auto" w:fill="auto"/>
                </w:tcPr>
                <w:p w14:paraId="59856B88" w14:textId="77777777" w:rsidR="00C05BA7" w:rsidRPr="00486EC5" w:rsidRDefault="00C05BA7" w:rsidP="00C05BA7">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2 - Ρυθμίσεις για την κατάρτιση και την ενημέρωση του προσωπικού που ασχολείται με την εφαρμογή των Οδηγιών ΕΠΕ και ΣΕΠΕ.</w:t>
                  </w:r>
                </w:p>
              </w:tc>
              <w:tc>
                <w:tcPr>
                  <w:tcW w:w="3260" w:type="dxa"/>
                  <w:shd w:val="clear" w:color="auto" w:fill="auto"/>
                </w:tcPr>
                <w:p w14:paraId="6E7B342B"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Ετοιμασία Σχεδίου Δράσης για την εκπαίδευση του προσωπικού, της Επιτροπής ΕΠΕ και άλλων εμπλεκομένων Τμημάτων στους τομείς της ενέργειας, των υδρογονανθράκων, της διαχείρισης αποβλήτων (χερσαία και θαλάσσια), της κλιματικής αλλαγής, της βιοποικιλότητας κ.ά. (Δεκέμβριος 2014).</w:t>
                  </w:r>
                </w:p>
                <w:p w14:paraId="078D47D1"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Έκδοση Κανονισμών για διάχυση και ανταλλαγή πληροφοριών σε συστηματική βάση</w:t>
                  </w:r>
                </w:p>
              </w:tc>
              <w:tc>
                <w:tcPr>
                  <w:tcW w:w="1134" w:type="dxa"/>
                  <w:shd w:val="clear" w:color="auto" w:fill="auto"/>
                </w:tcPr>
                <w:p w14:paraId="5208C982" w14:textId="77777777" w:rsidR="00C05BA7" w:rsidRPr="00486EC5" w:rsidRDefault="00C05BA7" w:rsidP="00C05BA7">
                  <w:pPr>
                    <w:snapToGrid w:val="0"/>
                    <w:spacing w:before="120" w:after="12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30/06/2015</w:t>
                  </w:r>
                </w:p>
              </w:tc>
              <w:tc>
                <w:tcPr>
                  <w:tcW w:w="1418" w:type="dxa"/>
                  <w:shd w:val="clear" w:color="auto" w:fill="auto"/>
                </w:tcPr>
                <w:p w14:paraId="36275CFD" w14:textId="77777777" w:rsidR="00C05BA7" w:rsidRPr="00486EC5" w:rsidRDefault="00C05BA7" w:rsidP="00C05BA7">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Τμήμα Περιβάλλοντος, Υπουργείο Γεωργίας, Αγροτικής Ανάπτυξης και Περιβάλλοντος</w:t>
                  </w:r>
                </w:p>
              </w:tc>
              <w:tc>
                <w:tcPr>
                  <w:tcW w:w="992" w:type="dxa"/>
                </w:tcPr>
                <w:p w14:paraId="1F272ACE" w14:textId="77777777" w:rsidR="00C05BA7" w:rsidRPr="00486EC5" w:rsidRDefault="00C05BA7" w:rsidP="00C05BA7">
                  <w:pPr>
                    <w:snapToGrid w:val="0"/>
                    <w:spacing w:before="120" w:after="12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ΟΧΙ</w:t>
                  </w:r>
                </w:p>
              </w:tc>
              <w:tc>
                <w:tcPr>
                  <w:tcW w:w="850" w:type="dxa"/>
                </w:tcPr>
                <w:p w14:paraId="3CA1F2F5" w14:textId="77777777" w:rsidR="00C05BA7" w:rsidRPr="00486EC5" w:rsidRDefault="00C05BA7" w:rsidP="00C05BA7">
                  <w:pPr>
                    <w:snapToGrid w:val="0"/>
                    <w:spacing w:before="120" w:after="12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ΝΑΙ</w:t>
                  </w:r>
                </w:p>
              </w:tc>
              <w:tc>
                <w:tcPr>
                  <w:tcW w:w="1276" w:type="dxa"/>
                </w:tcPr>
                <w:p w14:paraId="2BF27DD7" w14:textId="77777777" w:rsidR="00C05BA7" w:rsidRPr="00486EC5" w:rsidRDefault="00C05BA7" w:rsidP="00C05BA7">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25/11/2016</w:t>
                  </w:r>
                </w:p>
              </w:tc>
              <w:tc>
                <w:tcPr>
                  <w:tcW w:w="1945" w:type="dxa"/>
                </w:tcPr>
                <w:p w14:paraId="10D27CF9"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Η Δράση ολοκληρώθηκε στις 25/11/16 με την ετοιμασία και ολοκλήρωση της εφαρμογής του Σχεδίου Δράσης. </w:t>
                  </w:r>
                </w:p>
                <w:p w14:paraId="76110417"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7/2/17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(2017) 664194).</w:t>
                  </w:r>
                </w:p>
              </w:tc>
            </w:tr>
            <w:tr w:rsidR="00C05BA7" w:rsidRPr="00486EC5" w14:paraId="409DCC0B" w14:textId="77777777" w:rsidTr="00DD223D">
              <w:trPr>
                <w:trHeight w:val="416"/>
                <w:jc w:val="center"/>
              </w:trPr>
              <w:tc>
                <w:tcPr>
                  <w:tcW w:w="2302" w:type="dxa"/>
                  <w:vMerge w:val="restart"/>
                  <w:shd w:val="clear" w:color="auto" w:fill="auto"/>
                </w:tcPr>
                <w:p w14:paraId="20D927CE" w14:textId="77777777" w:rsidR="00C05BA7" w:rsidRPr="00486EC5" w:rsidRDefault="00C05BA7" w:rsidP="00C05BA7">
                  <w:pPr>
                    <w:spacing w:before="120" w:after="0" w:line="240" w:lineRule="auto"/>
                    <w:rPr>
                      <w:rFonts w:asciiTheme="minorHAnsi" w:hAnsiTheme="minorHAnsi" w:cs="Calibri"/>
                      <w:b/>
                      <w:i/>
                      <w:sz w:val="16"/>
                      <w:szCs w:val="16"/>
                      <w:lang w:val="el-GR"/>
                    </w:rPr>
                  </w:pPr>
                  <w:r w:rsidRPr="00486EC5">
                    <w:rPr>
                      <w:rFonts w:asciiTheme="minorHAnsi" w:hAnsiTheme="minorHAnsi" w:cs="Calibri"/>
                      <w:b/>
                      <w:i/>
                      <w:sz w:val="16"/>
                      <w:szCs w:val="16"/>
                      <w:lang w:val="el-GR"/>
                    </w:rPr>
                    <w:t>7. Στατιστικά συστήματα και δείκτες αποτελεσμάτων</w:t>
                  </w:r>
                </w:p>
                <w:p w14:paraId="45D8C33B" w14:textId="77777777" w:rsidR="00C05BA7" w:rsidRPr="00486EC5" w:rsidRDefault="00C05BA7" w:rsidP="00C05BA7">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ύπαρξη της αναγκαίας  στατιστικής βάσης για την πραγματοποίηση αξιολογήσεων της αποτελεσματικότητας και του αντικτύπου των προγραμμάτων.</w:t>
                  </w:r>
                </w:p>
                <w:p w14:paraId="27C68D85" w14:textId="77777777" w:rsidR="00C05BA7" w:rsidRPr="00486EC5" w:rsidRDefault="00C05BA7" w:rsidP="00C05BA7">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ύπαρξη του αναγκαίου συστήματος δεικτών αποτελεσμάτων για την επιλογή των δράσεων που συμβάλλουν αποτελεσματικότερα στα επιθυμητά αποτελέσματα, την παρακολούθηση της προόδου και την πραγματοποίηση εκτίμησης αντικτύπου.</w:t>
                  </w:r>
                </w:p>
              </w:tc>
              <w:tc>
                <w:tcPr>
                  <w:tcW w:w="1843" w:type="dxa"/>
                  <w:shd w:val="clear" w:color="auto" w:fill="auto"/>
                </w:tcPr>
                <w:p w14:paraId="072FEE0D" w14:textId="77777777" w:rsidR="00C05BA7" w:rsidRPr="00486EC5" w:rsidRDefault="00C05BA7" w:rsidP="00C05BA7">
                  <w:pPr>
                    <w:spacing w:before="120" w:after="0" w:line="240" w:lineRule="auto"/>
                    <w:rPr>
                      <w:rFonts w:asciiTheme="minorHAnsi" w:hAnsiTheme="minorHAnsi" w:cs="Calibri"/>
                      <w:sz w:val="16"/>
                      <w:szCs w:val="16"/>
                      <w:highlight w:val="red"/>
                      <w:lang w:val="el-GR"/>
                    </w:rPr>
                  </w:pPr>
                  <w:r w:rsidRPr="00486EC5">
                    <w:rPr>
                      <w:rFonts w:asciiTheme="minorHAnsi" w:hAnsiTheme="minorHAnsi" w:cs="Calibri"/>
                      <w:sz w:val="16"/>
                      <w:szCs w:val="16"/>
                      <w:lang w:val="el-GR"/>
                    </w:rPr>
                    <w:t>1 - Εφαρμογή ρυθμίσεων για την έγκαιρη συλλογή και συγκέντρωση των στατιστικών στοιχείων, οι οποίες περιλαμβάνουν τα ακόλουθα στοιχεία: τον προσδιορισμό των πηγών και των μηχανισμών που διασφαλίζουν τη στατιστική επικύρωση.</w:t>
                  </w:r>
                </w:p>
              </w:tc>
              <w:tc>
                <w:tcPr>
                  <w:tcW w:w="3260" w:type="dxa"/>
                  <w:shd w:val="clear" w:color="auto" w:fill="auto"/>
                </w:tcPr>
                <w:p w14:paraId="54CC2E2E" w14:textId="77777777" w:rsidR="00C05BA7" w:rsidRPr="00486EC5" w:rsidRDefault="00C05BA7" w:rsidP="00C05BA7">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α) Το κριτήριο συνδυάζεται με την ολοκλήρωση και λειτουργία του ΟΠΣ καθώς και την ετοιμασία του ΣΔΕ. Το ΟΠΣ αναπτύχθηκε σε 8 Φάσεις ως ακολούθως:</w:t>
                  </w:r>
                </w:p>
                <w:p w14:paraId="38148329" w14:textId="77777777" w:rsidR="00C05BA7" w:rsidRPr="00486EC5" w:rsidRDefault="00C05BA7" w:rsidP="001D583B">
                  <w:pPr>
                    <w:numPr>
                      <w:ilvl w:val="0"/>
                      <w:numId w:val="34"/>
                    </w:numPr>
                    <w:spacing w:after="0" w:line="240" w:lineRule="auto"/>
                    <w:ind w:left="209" w:hanging="218"/>
                    <w:contextualSpacing/>
                    <w:rPr>
                      <w:rFonts w:asciiTheme="minorHAnsi" w:hAnsiTheme="minorHAnsi" w:cs="Calibri"/>
                      <w:sz w:val="16"/>
                      <w:szCs w:val="16"/>
                      <w:lang w:val="el-GR"/>
                    </w:rPr>
                  </w:pPr>
                  <w:r w:rsidRPr="00486EC5">
                    <w:rPr>
                      <w:rFonts w:asciiTheme="minorHAnsi" w:hAnsiTheme="minorHAnsi" w:cs="Calibri"/>
                      <w:sz w:val="16"/>
                      <w:szCs w:val="16"/>
                      <w:lang w:val="el-GR"/>
                    </w:rPr>
                    <w:t>Κανονιστικές απαιτήσεις του Συστήματος</w:t>
                  </w:r>
                </w:p>
                <w:p w14:paraId="05F89DAE" w14:textId="77777777" w:rsidR="00C05BA7" w:rsidRPr="00486EC5" w:rsidRDefault="00C05BA7" w:rsidP="001D583B">
                  <w:pPr>
                    <w:numPr>
                      <w:ilvl w:val="0"/>
                      <w:numId w:val="34"/>
                    </w:numPr>
                    <w:spacing w:after="0" w:line="240" w:lineRule="auto"/>
                    <w:ind w:left="209" w:hanging="218"/>
                    <w:contextualSpacing/>
                    <w:rPr>
                      <w:rFonts w:asciiTheme="minorHAnsi" w:hAnsiTheme="minorHAnsi" w:cs="Calibri"/>
                      <w:sz w:val="16"/>
                      <w:szCs w:val="16"/>
                      <w:lang w:val="el-GR"/>
                    </w:rPr>
                  </w:pPr>
                  <w:r w:rsidRPr="00486EC5">
                    <w:rPr>
                      <w:rFonts w:asciiTheme="minorHAnsi" w:hAnsiTheme="minorHAnsi" w:cs="Calibri"/>
                      <w:sz w:val="16"/>
                      <w:szCs w:val="16"/>
                      <w:lang w:val="el-GR"/>
                    </w:rPr>
                    <w:t>Αναβάθμιση και προσαρμογή</w:t>
                  </w:r>
                </w:p>
                <w:p w14:paraId="2DC5D143" w14:textId="77777777" w:rsidR="00C05BA7" w:rsidRPr="00486EC5" w:rsidRDefault="00C05BA7" w:rsidP="001D583B">
                  <w:pPr>
                    <w:numPr>
                      <w:ilvl w:val="0"/>
                      <w:numId w:val="34"/>
                    </w:numPr>
                    <w:spacing w:after="0" w:line="240" w:lineRule="auto"/>
                    <w:ind w:left="209" w:hanging="218"/>
                    <w:contextualSpacing/>
                    <w:rPr>
                      <w:rFonts w:asciiTheme="minorHAnsi" w:hAnsiTheme="minorHAnsi" w:cs="Calibri"/>
                      <w:sz w:val="16"/>
                      <w:szCs w:val="16"/>
                      <w:lang w:val="el-GR"/>
                    </w:rPr>
                  </w:pPr>
                  <w:r w:rsidRPr="00486EC5">
                    <w:rPr>
                      <w:rFonts w:asciiTheme="minorHAnsi" w:hAnsiTheme="minorHAnsi" w:cs="Calibri"/>
                      <w:sz w:val="16"/>
                      <w:szCs w:val="16"/>
                      <w:lang w:val="el-GR"/>
                    </w:rPr>
                    <w:t>Δοκιμές</w:t>
                  </w:r>
                </w:p>
                <w:p w14:paraId="18F9C1E5" w14:textId="77777777" w:rsidR="00C05BA7" w:rsidRPr="00486EC5" w:rsidRDefault="00C05BA7" w:rsidP="001D583B">
                  <w:pPr>
                    <w:numPr>
                      <w:ilvl w:val="0"/>
                      <w:numId w:val="34"/>
                    </w:numPr>
                    <w:spacing w:after="0" w:line="240" w:lineRule="auto"/>
                    <w:ind w:left="209" w:hanging="218"/>
                    <w:contextualSpacing/>
                    <w:rPr>
                      <w:rFonts w:asciiTheme="minorHAnsi" w:hAnsiTheme="minorHAnsi" w:cs="Calibri"/>
                      <w:sz w:val="16"/>
                      <w:szCs w:val="16"/>
                      <w:lang w:val="el-GR"/>
                    </w:rPr>
                  </w:pPr>
                  <w:r w:rsidRPr="00486EC5">
                    <w:rPr>
                      <w:rFonts w:asciiTheme="minorHAnsi" w:hAnsiTheme="minorHAnsi" w:cs="Calibri"/>
                      <w:sz w:val="16"/>
                      <w:szCs w:val="16"/>
                      <w:lang w:val="el-GR"/>
                    </w:rPr>
                    <w:t>Πιλοτική Εφαρμογή</w:t>
                  </w:r>
                </w:p>
                <w:p w14:paraId="40903DC4" w14:textId="77777777" w:rsidR="00C05BA7" w:rsidRPr="00486EC5" w:rsidRDefault="00C05BA7" w:rsidP="001D583B">
                  <w:pPr>
                    <w:numPr>
                      <w:ilvl w:val="0"/>
                      <w:numId w:val="34"/>
                    </w:numPr>
                    <w:spacing w:after="0" w:line="240" w:lineRule="auto"/>
                    <w:ind w:left="209" w:hanging="218"/>
                    <w:contextualSpacing/>
                    <w:rPr>
                      <w:rFonts w:asciiTheme="minorHAnsi" w:hAnsiTheme="minorHAnsi" w:cs="Calibri"/>
                      <w:sz w:val="16"/>
                      <w:szCs w:val="16"/>
                      <w:lang w:val="el-GR"/>
                    </w:rPr>
                  </w:pPr>
                  <w:r w:rsidRPr="00486EC5">
                    <w:rPr>
                      <w:rFonts w:asciiTheme="minorHAnsi" w:hAnsiTheme="minorHAnsi" w:cs="Calibri"/>
                      <w:sz w:val="16"/>
                      <w:szCs w:val="16"/>
                      <w:lang w:val="el-GR"/>
                    </w:rPr>
                    <w:t>Εκπαιδεύσεις</w:t>
                  </w:r>
                </w:p>
                <w:p w14:paraId="789E5E4B" w14:textId="77777777" w:rsidR="00C05BA7" w:rsidRPr="00486EC5" w:rsidRDefault="00C05BA7" w:rsidP="001D583B">
                  <w:pPr>
                    <w:numPr>
                      <w:ilvl w:val="0"/>
                      <w:numId w:val="34"/>
                    </w:numPr>
                    <w:spacing w:after="0" w:line="240" w:lineRule="auto"/>
                    <w:ind w:left="209" w:hanging="218"/>
                    <w:contextualSpacing/>
                    <w:rPr>
                      <w:rFonts w:asciiTheme="minorHAnsi" w:hAnsiTheme="minorHAnsi" w:cs="Calibri"/>
                      <w:sz w:val="16"/>
                      <w:szCs w:val="16"/>
                      <w:lang w:val="el-GR"/>
                    </w:rPr>
                  </w:pPr>
                  <w:r w:rsidRPr="00486EC5">
                    <w:rPr>
                      <w:rFonts w:asciiTheme="minorHAnsi" w:hAnsiTheme="minorHAnsi" w:cs="Calibri"/>
                      <w:sz w:val="16"/>
                      <w:szCs w:val="16"/>
                      <w:lang w:val="el-GR"/>
                    </w:rPr>
                    <w:t>Εγγύηση καλής λειτουργίας</w:t>
                  </w:r>
                </w:p>
                <w:p w14:paraId="6E945822" w14:textId="77777777" w:rsidR="00C05BA7" w:rsidRPr="00486EC5" w:rsidRDefault="00C05BA7" w:rsidP="001D583B">
                  <w:pPr>
                    <w:numPr>
                      <w:ilvl w:val="0"/>
                      <w:numId w:val="34"/>
                    </w:numPr>
                    <w:spacing w:after="0" w:line="240" w:lineRule="auto"/>
                    <w:ind w:left="209" w:hanging="218"/>
                    <w:contextualSpacing/>
                    <w:rPr>
                      <w:rFonts w:asciiTheme="minorHAnsi" w:hAnsiTheme="minorHAnsi" w:cs="Calibri"/>
                      <w:sz w:val="16"/>
                      <w:szCs w:val="16"/>
                      <w:lang w:val="el-GR"/>
                    </w:rPr>
                  </w:pPr>
                  <w:r w:rsidRPr="00486EC5">
                    <w:rPr>
                      <w:rFonts w:asciiTheme="minorHAnsi" w:hAnsiTheme="minorHAnsi" w:cs="Calibri"/>
                      <w:sz w:val="16"/>
                      <w:szCs w:val="16"/>
                      <w:lang w:val="el-GR"/>
                    </w:rPr>
                    <w:t>Υποστήριξη</w:t>
                  </w:r>
                </w:p>
                <w:p w14:paraId="4C05F7FA" w14:textId="77777777" w:rsidR="00C05BA7" w:rsidRPr="00486EC5" w:rsidRDefault="00C05BA7" w:rsidP="001D583B">
                  <w:pPr>
                    <w:numPr>
                      <w:ilvl w:val="0"/>
                      <w:numId w:val="34"/>
                    </w:numPr>
                    <w:snapToGrid w:val="0"/>
                    <w:spacing w:after="0" w:line="240" w:lineRule="auto"/>
                    <w:ind w:left="209" w:hanging="218"/>
                    <w:contextualSpacing/>
                    <w:rPr>
                      <w:rFonts w:asciiTheme="minorHAnsi" w:hAnsiTheme="minorHAnsi" w:cs="Calibri"/>
                      <w:sz w:val="16"/>
                      <w:szCs w:val="16"/>
                      <w:lang w:val="el-GR"/>
                    </w:rPr>
                  </w:pPr>
                  <w:r w:rsidRPr="00486EC5">
                    <w:rPr>
                      <w:rFonts w:asciiTheme="minorHAnsi" w:hAnsiTheme="minorHAnsi" w:cs="Calibri"/>
                      <w:sz w:val="16"/>
                      <w:szCs w:val="16"/>
                      <w:lang w:val="el-GR"/>
                    </w:rPr>
                    <w:t>Επιπρόσθετες υπηρεσίες</w:t>
                  </w:r>
                </w:p>
                <w:p w14:paraId="1C0713C1" w14:textId="77777777" w:rsidR="00C05BA7" w:rsidRPr="00486EC5" w:rsidRDefault="00C05BA7" w:rsidP="00C05BA7">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β) Ανάπτυξη ρυθμίσεων/ μηχανισμών συλλογής /ανάλυσης δεδομένων εκτός ΟΠΣ:</w:t>
                  </w:r>
                </w:p>
                <w:p w14:paraId="568D9619" w14:textId="77777777" w:rsidR="00C05BA7" w:rsidRPr="00486EC5" w:rsidRDefault="00C05BA7" w:rsidP="001D583B">
                  <w:pPr>
                    <w:numPr>
                      <w:ilvl w:val="0"/>
                      <w:numId w:val="35"/>
                    </w:numPr>
                    <w:snapToGrid w:val="0"/>
                    <w:spacing w:after="0" w:line="240" w:lineRule="auto"/>
                    <w:ind w:left="209" w:hanging="183"/>
                    <w:contextualSpacing/>
                    <w:rPr>
                      <w:rFonts w:asciiTheme="minorHAnsi" w:hAnsiTheme="minorHAnsi" w:cs="Calibri"/>
                      <w:sz w:val="16"/>
                      <w:szCs w:val="16"/>
                      <w:lang w:val="el-GR"/>
                    </w:rPr>
                  </w:pPr>
                  <w:r w:rsidRPr="00486EC5">
                    <w:rPr>
                      <w:rFonts w:asciiTheme="minorHAnsi" w:hAnsiTheme="minorHAnsi" w:cs="Calibri"/>
                      <w:sz w:val="16"/>
                      <w:szCs w:val="16"/>
                      <w:lang w:val="el-GR"/>
                    </w:rPr>
                    <w:t>Διασφάλιση στατιστικής επικύρωσης μέσω τεχνικών επαληθεύσεων.</w:t>
                  </w:r>
                </w:p>
                <w:p w14:paraId="10C425C3" w14:textId="77777777" w:rsidR="00C05BA7" w:rsidRPr="00486EC5" w:rsidRDefault="00C05BA7" w:rsidP="001D583B">
                  <w:pPr>
                    <w:numPr>
                      <w:ilvl w:val="0"/>
                      <w:numId w:val="35"/>
                    </w:numPr>
                    <w:snapToGrid w:val="0"/>
                    <w:spacing w:after="0" w:line="240" w:lineRule="auto"/>
                    <w:ind w:left="209" w:hanging="183"/>
                    <w:contextualSpacing/>
                    <w:rPr>
                      <w:rFonts w:asciiTheme="minorHAnsi" w:hAnsiTheme="minorHAnsi" w:cs="Calibri"/>
                      <w:sz w:val="16"/>
                      <w:szCs w:val="16"/>
                      <w:lang w:val="el-GR"/>
                    </w:rPr>
                  </w:pPr>
                  <w:r w:rsidRPr="00486EC5">
                    <w:rPr>
                      <w:rFonts w:asciiTheme="minorHAnsi" w:hAnsiTheme="minorHAnsi" w:cs="Calibri"/>
                      <w:sz w:val="16"/>
                      <w:szCs w:val="16"/>
                      <w:lang w:val="el-GR"/>
                    </w:rPr>
                    <w:t>Διαβίβαση δεδομένων από Ενδιάμεσους Φορείς και Δικαιούχους, έως την ολοκλήρωση του ΟΠΣ σε τυποποιημένους πίνακες (</w:t>
                  </w:r>
                  <w:r w:rsidRPr="00486EC5">
                    <w:rPr>
                      <w:rFonts w:asciiTheme="minorHAnsi" w:hAnsiTheme="minorHAnsi" w:cs="Calibri"/>
                      <w:sz w:val="16"/>
                      <w:szCs w:val="16"/>
                      <w:lang w:val="en-GB"/>
                    </w:rPr>
                    <w:t>excel</w:t>
                  </w:r>
                  <w:r w:rsidRPr="00486EC5">
                    <w:rPr>
                      <w:rFonts w:asciiTheme="minorHAnsi" w:hAnsiTheme="minorHAnsi" w:cs="Calibri"/>
                      <w:sz w:val="16"/>
                      <w:szCs w:val="16"/>
                      <w:lang w:val="el-GR"/>
                    </w:rPr>
                    <w:t xml:space="preserve"> </w:t>
                  </w:r>
                  <w:r w:rsidRPr="00486EC5">
                    <w:rPr>
                      <w:rFonts w:asciiTheme="minorHAnsi" w:hAnsiTheme="minorHAnsi" w:cs="Calibri"/>
                      <w:sz w:val="16"/>
                      <w:szCs w:val="16"/>
                      <w:lang w:val="en-GB"/>
                    </w:rPr>
                    <w:t>spreadsheets</w:t>
                  </w:r>
                  <w:r w:rsidRPr="00486EC5">
                    <w:rPr>
                      <w:rFonts w:asciiTheme="minorHAnsi" w:hAnsiTheme="minorHAnsi" w:cs="Calibri"/>
                      <w:sz w:val="16"/>
                      <w:szCs w:val="16"/>
                      <w:lang w:val="el-GR"/>
                    </w:rPr>
                    <w:t>).</w:t>
                  </w:r>
                </w:p>
              </w:tc>
              <w:tc>
                <w:tcPr>
                  <w:tcW w:w="1134" w:type="dxa"/>
                  <w:shd w:val="clear" w:color="auto" w:fill="auto"/>
                </w:tcPr>
                <w:p w14:paraId="4FE953CD" w14:textId="77777777" w:rsidR="00C05BA7" w:rsidRPr="00486EC5" w:rsidRDefault="00C05BA7" w:rsidP="00C05BA7">
                  <w:pPr>
                    <w:snapToGrid w:val="0"/>
                    <w:spacing w:before="120" w:after="120" w:line="240" w:lineRule="auto"/>
                    <w:jc w:val="center"/>
                    <w:rPr>
                      <w:rFonts w:asciiTheme="minorHAnsi" w:hAnsiTheme="minorHAnsi" w:cs="Calibri"/>
                      <w:sz w:val="16"/>
                      <w:szCs w:val="16"/>
                    </w:rPr>
                  </w:pPr>
                  <w:r w:rsidRPr="00486EC5">
                    <w:rPr>
                      <w:rFonts w:asciiTheme="minorHAnsi" w:hAnsiTheme="minorHAnsi" w:cs="Calibri"/>
                      <w:sz w:val="16"/>
                      <w:szCs w:val="16"/>
                    </w:rPr>
                    <w:t>31/12/2015</w:t>
                  </w:r>
                </w:p>
              </w:tc>
              <w:tc>
                <w:tcPr>
                  <w:tcW w:w="1418" w:type="dxa"/>
                  <w:vMerge w:val="restart"/>
                  <w:shd w:val="clear" w:color="auto" w:fill="auto"/>
                </w:tcPr>
                <w:p w14:paraId="4540AE86" w14:textId="77777777" w:rsidR="00C05BA7" w:rsidRPr="00486EC5" w:rsidRDefault="00C05BA7" w:rsidP="00C05BA7">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Γενική Διεύθυνση Ευρωπαϊκών Προγραμμάτων, Συντονισμού και Ανάπτυξης – Διαχειριστική Αρχή</w:t>
                  </w:r>
                </w:p>
              </w:tc>
              <w:tc>
                <w:tcPr>
                  <w:tcW w:w="992" w:type="dxa"/>
                </w:tcPr>
                <w:p w14:paraId="5D74165B" w14:textId="77777777" w:rsidR="00C05BA7" w:rsidRPr="00486EC5" w:rsidRDefault="00C05BA7" w:rsidP="00C05BA7">
                  <w:pPr>
                    <w:snapToGrid w:val="0"/>
                    <w:spacing w:before="120" w:after="120" w:line="240" w:lineRule="auto"/>
                    <w:jc w:val="center"/>
                    <w:rPr>
                      <w:rFonts w:asciiTheme="minorHAnsi" w:hAnsiTheme="minorHAnsi" w:cs="Calibri"/>
                      <w:sz w:val="16"/>
                      <w:szCs w:val="16"/>
                    </w:rPr>
                  </w:pPr>
                  <w:r w:rsidRPr="00486EC5">
                    <w:rPr>
                      <w:rFonts w:asciiTheme="minorHAnsi" w:hAnsiTheme="minorHAnsi" w:cs="Calibri"/>
                      <w:sz w:val="16"/>
                      <w:szCs w:val="16"/>
                    </w:rPr>
                    <w:t>ΟΧΙ</w:t>
                  </w:r>
                </w:p>
              </w:tc>
              <w:tc>
                <w:tcPr>
                  <w:tcW w:w="850" w:type="dxa"/>
                  <w:shd w:val="clear" w:color="auto" w:fill="auto"/>
                </w:tcPr>
                <w:p w14:paraId="498A8C6E" w14:textId="77777777" w:rsidR="00C05BA7" w:rsidRPr="00486EC5" w:rsidRDefault="00C05BA7" w:rsidP="00C05BA7">
                  <w:pPr>
                    <w:snapToGrid w:val="0"/>
                    <w:spacing w:before="120" w:after="120" w:line="240" w:lineRule="auto"/>
                    <w:jc w:val="center"/>
                    <w:rPr>
                      <w:rFonts w:asciiTheme="minorHAnsi" w:hAnsiTheme="minorHAnsi" w:cs="Calibri"/>
                      <w:sz w:val="16"/>
                      <w:szCs w:val="16"/>
                    </w:rPr>
                  </w:pPr>
                  <w:r w:rsidRPr="00486EC5">
                    <w:rPr>
                      <w:rFonts w:asciiTheme="minorHAnsi" w:hAnsiTheme="minorHAnsi" w:cs="Calibri"/>
                      <w:sz w:val="16"/>
                      <w:szCs w:val="16"/>
                      <w:lang w:val="el-GR"/>
                    </w:rPr>
                    <w:t>ΝΑΙ</w:t>
                  </w:r>
                </w:p>
              </w:tc>
              <w:tc>
                <w:tcPr>
                  <w:tcW w:w="1276" w:type="dxa"/>
                </w:tcPr>
                <w:p w14:paraId="633A3CF6" w14:textId="77777777" w:rsidR="00C05BA7" w:rsidRPr="00486EC5" w:rsidRDefault="00C05BA7" w:rsidP="00C05BA7">
                  <w:pPr>
                    <w:snapToGrid w:val="0"/>
                    <w:spacing w:before="120" w:after="120" w:line="240" w:lineRule="auto"/>
                    <w:jc w:val="center"/>
                    <w:rPr>
                      <w:rFonts w:asciiTheme="minorHAnsi" w:hAnsiTheme="minorHAnsi" w:cs="Calibri"/>
                      <w:sz w:val="16"/>
                      <w:szCs w:val="16"/>
                    </w:rPr>
                  </w:pPr>
                  <w:r w:rsidRPr="00486EC5">
                    <w:rPr>
                      <w:rFonts w:asciiTheme="minorHAnsi" w:hAnsiTheme="minorHAnsi" w:cs="Calibri"/>
                      <w:sz w:val="16"/>
                      <w:szCs w:val="16"/>
                    </w:rPr>
                    <w:t>14/10/2016</w:t>
                  </w:r>
                </w:p>
              </w:tc>
              <w:tc>
                <w:tcPr>
                  <w:tcW w:w="1945" w:type="dxa"/>
                </w:tcPr>
                <w:p w14:paraId="4C41A3E0"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συνδέεται με την ολοκλήρωση και λειτουργία του ΟΠΣ, το οποίο η Διαχειριστική Αρχή παρέλαβε στις 14/10/16.</w:t>
                  </w:r>
                </w:p>
                <w:p w14:paraId="0D38A18B"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Συνδέεται επίσης και με τις διαδικασίες παρακολούθησης και επαληθεύσεων Έργων/Σχεδίων Χορηγιών, που ακολουθούνται βάσει των Εγκυκλίων 5, 7 και 10, που εξειδικεύουν το Σύστημα Διαχείρισης και Ελέγχου.</w:t>
                  </w:r>
                </w:p>
                <w:p w14:paraId="509A0AD1" w14:textId="35D2D83E"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w:t>
                  </w:r>
                  <w:r w:rsidR="00310B4C" w:rsidRPr="00486EC5">
                    <w:rPr>
                      <w:rFonts w:asciiTheme="minorHAnsi" w:hAnsiTheme="minorHAnsi" w:cs="Calibri"/>
                      <w:sz w:val="16"/>
                      <w:szCs w:val="16"/>
                      <w:lang w:val="el-GR"/>
                    </w:rPr>
                    <w:t xml:space="preserve"> στις 7/5/17 (</w:t>
                  </w:r>
                  <w:r w:rsidR="00310B4C" w:rsidRPr="00486EC5">
                    <w:rPr>
                      <w:rFonts w:asciiTheme="minorHAnsi" w:hAnsiTheme="minorHAnsi" w:cs="Helvetica"/>
                      <w:sz w:val="16"/>
                      <w:szCs w:val="16"/>
                      <w:lang w:val="en-GB"/>
                    </w:rPr>
                    <w:t>Ares</w:t>
                  </w:r>
                  <w:r w:rsidR="00310B4C" w:rsidRPr="00486EC5">
                    <w:rPr>
                      <w:rFonts w:asciiTheme="minorHAnsi" w:hAnsiTheme="minorHAnsi" w:cs="Helvetica"/>
                      <w:sz w:val="16"/>
                      <w:szCs w:val="16"/>
                      <w:lang w:val="el-GR"/>
                    </w:rPr>
                    <w:t>(2017)3373830)</w:t>
                  </w:r>
                  <w:r w:rsidRPr="00486EC5">
                    <w:rPr>
                      <w:rFonts w:asciiTheme="minorHAnsi" w:hAnsiTheme="minorHAnsi" w:cs="Calibri"/>
                      <w:sz w:val="16"/>
                      <w:szCs w:val="16"/>
                      <w:lang w:val="el-GR"/>
                    </w:rPr>
                    <w:t>.</w:t>
                  </w:r>
                </w:p>
              </w:tc>
            </w:tr>
            <w:tr w:rsidR="00C05BA7" w:rsidRPr="00486EC5" w14:paraId="20273579" w14:textId="77777777" w:rsidTr="00DD223D">
              <w:trPr>
                <w:trHeight w:val="274"/>
                <w:jc w:val="center"/>
              </w:trPr>
              <w:tc>
                <w:tcPr>
                  <w:tcW w:w="2302" w:type="dxa"/>
                  <w:vMerge/>
                </w:tcPr>
                <w:p w14:paraId="00A98CDB" w14:textId="77777777" w:rsidR="00C05BA7" w:rsidRPr="00486EC5" w:rsidRDefault="00C05BA7" w:rsidP="00C05BA7">
                  <w:pPr>
                    <w:snapToGrid w:val="0"/>
                    <w:spacing w:after="0"/>
                    <w:rPr>
                      <w:rFonts w:asciiTheme="minorHAnsi" w:hAnsiTheme="minorHAnsi" w:cs="Calibri"/>
                      <w:b/>
                      <w:sz w:val="16"/>
                      <w:szCs w:val="16"/>
                      <w:lang w:val="el-GR"/>
                    </w:rPr>
                  </w:pPr>
                </w:p>
              </w:tc>
              <w:tc>
                <w:tcPr>
                  <w:tcW w:w="1843" w:type="dxa"/>
                  <w:shd w:val="clear" w:color="auto" w:fill="auto"/>
                </w:tcPr>
                <w:p w14:paraId="038D4C49" w14:textId="77777777" w:rsidR="00C05BA7" w:rsidRPr="00486EC5" w:rsidRDefault="00C05BA7" w:rsidP="00C05BA7">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3 - Ένα αποτελεσματικό σύστημα δεικτών αποτελεσμάτων που περιλαμβάνει: επιλογή </w:t>
                  </w:r>
                  <w:r w:rsidRPr="00486EC5">
                    <w:rPr>
                      <w:rFonts w:asciiTheme="minorHAnsi" w:hAnsiTheme="minorHAnsi" w:cs="Calibri"/>
                      <w:sz w:val="16"/>
                      <w:szCs w:val="16"/>
                      <w:lang w:val="el-GR"/>
                    </w:rPr>
                    <w:lastRenderedPageBreak/>
                    <w:t>των δεικτών αποτελεσμάτων για κάθε πρόγραμμα, παρέχοντας πληροφορίες σχετικά με αυτό που παρακινεί την επιλογή των μέτρων πολιτικής που χρηματοδοτούνται από το πρόγραμμα.</w:t>
                  </w:r>
                </w:p>
              </w:tc>
              <w:tc>
                <w:tcPr>
                  <w:tcW w:w="3260" w:type="dxa"/>
                  <w:shd w:val="clear" w:color="auto" w:fill="auto"/>
                </w:tcPr>
                <w:p w14:paraId="5EB42BC4"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lastRenderedPageBreak/>
                    <w:t>Το σύστημα δεικτών αποτελεσμάτων παρουσιάζεται στα προγραμματικά έγγραφα της περιόδου 2014-2020.</w:t>
                  </w:r>
                </w:p>
                <w:p w14:paraId="40FFD9B9"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lastRenderedPageBreak/>
                    <w:t>Στο πλαίσιο της εκ των προτέρων αξιολόγησης των νέων Προγραμμάτων, περιλαμβάνεται η αξιολόγηση της καταλληλότητας, εφαρμοσιμότητας, αποτελεσματικότητας, σχετικότητας, σαφήνειας κλπ των προτεινόμενων δεικτών όσο και των στόχων / οροσήμων που έχουν (προκαταρτικά) τεθεί στη βάση και των αποτελεσμάτων των αντίστοιχων εκ των προτέρων αξιολογήσεων.</w:t>
                  </w:r>
                </w:p>
              </w:tc>
              <w:tc>
                <w:tcPr>
                  <w:tcW w:w="1134" w:type="dxa"/>
                  <w:shd w:val="clear" w:color="auto" w:fill="auto"/>
                </w:tcPr>
                <w:p w14:paraId="32506ECA" w14:textId="77777777" w:rsidR="00C05BA7" w:rsidRPr="00486EC5" w:rsidRDefault="00C05BA7" w:rsidP="00C05BA7">
                  <w:pPr>
                    <w:snapToGrid w:val="0"/>
                    <w:spacing w:before="120" w:after="120"/>
                    <w:jc w:val="center"/>
                    <w:rPr>
                      <w:rFonts w:asciiTheme="minorHAnsi" w:hAnsiTheme="minorHAnsi" w:cs="Calibri"/>
                      <w:sz w:val="16"/>
                      <w:szCs w:val="16"/>
                    </w:rPr>
                  </w:pPr>
                  <w:r w:rsidRPr="00486EC5">
                    <w:rPr>
                      <w:rFonts w:asciiTheme="minorHAnsi" w:hAnsiTheme="minorHAnsi" w:cs="Calibri"/>
                      <w:sz w:val="16"/>
                      <w:szCs w:val="16"/>
                    </w:rPr>
                    <w:lastRenderedPageBreak/>
                    <w:t>31/12/2014</w:t>
                  </w:r>
                </w:p>
              </w:tc>
              <w:tc>
                <w:tcPr>
                  <w:tcW w:w="1418" w:type="dxa"/>
                  <w:vMerge/>
                  <w:shd w:val="clear" w:color="auto" w:fill="auto"/>
                </w:tcPr>
                <w:p w14:paraId="52B71A64" w14:textId="77777777" w:rsidR="00C05BA7" w:rsidRPr="00486EC5" w:rsidRDefault="00C05BA7" w:rsidP="00C05BA7">
                  <w:pPr>
                    <w:snapToGrid w:val="0"/>
                    <w:spacing w:after="0"/>
                    <w:jc w:val="center"/>
                    <w:rPr>
                      <w:rFonts w:asciiTheme="minorHAnsi" w:hAnsiTheme="minorHAnsi" w:cs="Calibri"/>
                      <w:b/>
                      <w:sz w:val="16"/>
                      <w:szCs w:val="16"/>
                      <w:lang w:val="el-GR"/>
                    </w:rPr>
                  </w:pPr>
                </w:p>
              </w:tc>
              <w:tc>
                <w:tcPr>
                  <w:tcW w:w="992" w:type="dxa"/>
                  <w:shd w:val="clear" w:color="auto" w:fill="auto"/>
                </w:tcPr>
                <w:p w14:paraId="557C5474" w14:textId="77777777" w:rsidR="00C05BA7" w:rsidRPr="00486EC5" w:rsidRDefault="00C05BA7" w:rsidP="00C05BA7">
                  <w:pPr>
                    <w:snapToGrid w:val="0"/>
                    <w:spacing w:before="120" w:after="120"/>
                    <w:jc w:val="center"/>
                    <w:rPr>
                      <w:rFonts w:asciiTheme="minorHAnsi" w:hAnsiTheme="minorHAnsi" w:cs="Calibri"/>
                      <w:sz w:val="16"/>
                      <w:szCs w:val="16"/>
                      <w:lang w:val="el-GR"/>
                    </w:rPr>
                  </w:pPr>
                  <w:r w:rsidRPr="00486EC5">
                    <w:rPr>
                      <w:rFonts w:asciiTheme="minorHAnsi" w:hAnsiTheme="minorHAnsi" w:cs="Calibri"/>
                      <w:sz w:val="16"/>
                      <w:szCs w:val="16"/>
                      <w:lang w:val="el-GR"/>
                    </w:rPr>
                    <w:t>ΝΑΙ</w:t>
                  </w:r>
                </w:p>
              </w:tc>
              <w:tc>
                <w:tcPr>
                  <w:tcW w:w="850" w:type="dxa"/>
                  <w:shd w:val="clear" w:color="auto" w:fill="auto"/>
                </w:tcPr>
                <w:p w14:paraId="1DC0D616" w14:textId="77777777" w:rsidR="00C05BA7" w:rsidRPr="00486EC5" w:rsidRDefault="00C05BA7" w:rsidP="00C05BA7">
                  <w:pPr>
                    <w:snapToGrid w:val="0"/>
                    <w:spacing w:before="120" w:after="120"/>
                    <w:jc w:val="center"/>
                    <w:rPr>
                      <w:rFonts w:asciiTheme="minorHAnsi" w:hAnsiTheme="minorHAnsi" w:cs="Calibri"/>
                      <w:sz w:val="16"/>
                      <w:szCs w:val="16"/>
                      <w:lang w:val="el-GR"/>
                    </w:rPr>
                  </w:pPr>
                  <w:r w:rsidRPr="00486EC5">
                    <w:rPr>
                      <w:rFonts w:asciiTheme="minorHAnsi" w:hAnsiTheme="minorHAnsi" w:cs="Calibri"/>
                      <w:sz w:val="16"/>
                      <w:szCs w:val="16"/>
                      <w:lang w:val="el-GR"/>
                    </w:rPr>
                    <w:t>ΝΑΙ</w:t>
                  </w:r>
                </w:p>
              </w:tc>
              <w:tc>
                <w:tcPr>
                  <w:tcW w:w="1276" w:type="dxa"/>
                  <w:shd w:val="clear" w:color="auto" w:fill="auto"/>
                </w:tcPr>
                <w:p w14:paraId="09E1CBB5" w14:textId="77777777" w:rsidR="00C05BA7" w:rsidRPr="00486EC5" w:rsidRDefault="00C05BA7" w:rsidP="00C05BA7">
                  <w:pPr>
                    <w:snapToGrid w:val="0"/>
                    <w:spacing w:before="120" w:after="0"/>
                    <w:jc w:val="center"/>
                    <w:rPr>
                      <w:rFonts w:asciiTheme="minorHAnsi" w:hAnsiTheme="minorHAnsi" w:cs="Calibri"/>
                      <w:sz w:val="16"/>
                      <w:szCs w:val="16"/>
                    </w:rPr>
                  </w:pPr>
                </w:p>
              </w:tc>
              <w:tc>
                <w:tcPr>
                  <w:tcW w:w="1945" w:type="dxa"/>
                  <w:shd w:val="clear" w:color="auto" w:fill="auto"/>
                </w:tcPr>
                <w:p w14:paraId="36509DB2"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Οι δείκτες αποτελέσματος περιλαμβάνονται στα  Επιχειρησιακά Προγράμματα, τα οποία </w:t>
                  </w:r>
                  <w:r w:rsidRPr="00486EC5">
                    <w:rPr>
                      <w:rFonts w:asciiTheme="minorHAnsi" w:hAnsiTheme="minorHAnsi" w:cs="Calibri"/>
                      <w:sz w:val="16"/>
                      <w:szCs w:val="16"/>
                      <w:lang w:val="el-GR"/>
                    </w:rPr>
                    <w:lastRenderedPageBreak/>
                    <w:t>εγκρίθηκαν από την Ευρωπαϊκή Επιτροπή την περίοδο 2014-2015.</w:t>
                  </w:r>
                </w:p>
                <w:p w14:paraId="4DBE7F51" w14:textId="23FABD5A" w:rsidR="00C05BA7" w:rsidRPr="00486EC5" w:rsidRDefault="00310B4C"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7/5/17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(2017)3373830)</w:t>
                  </w:r>
                  <w:r w:rsidRPr="00486EC5">
                    <w:rPr>
                      <w:rFonts w:asciiTheme="minorHAnsi" w:hAnsiTheme="minorHAnsi" w:cs="Calibri"/>
                      <w:sz w:val="16"/>
                      <w:szCs w:val="16"/>
                      <w:lang w:val="el-GR"/>
                    </w:rPr>
                    <w:t>.</w:t>
                  </w:r>
                </w:p>
              </w:tc>
            </w:tr>
            <w:tr w:rsidR="00C05BA7" w:rsidRPr="00486EC5" w14:paraId="77912692" w14:textId="77777777" w:rsidTr="00DD223D">
              <w:trPr>
                <w:trHeight w:val="274"/>
                <w:jc w:val="center"/>
              </w:trPr>
              <w:tc>
                <w:tcPr>
                  <w:tcW w:w="2302" w:type="dxa"/>
                  <w:vMerge/>
                </w:tcPr>
                <w:p w14:paraId="1B3B1DC7" w14:textId="77777777" w:rsidR="00C05BA7" w:rsidRPr="00486EC5" w:rsidRDefault="00C05BA7" w:rsidP="00C05BA7">
                  <w:pPr>
                    <w:snapToGrid w:val="0"/>
                    <w:spacing w:after="0"/>
                    <w:rPr>
                      <w:rFonts w:asciiTheme="minorHAnsi" w:hAnsiTheme="minorHAnsi" w:cs="Calibri"/>
                      <w:b/>
                      <w:sz w:val="16"/>
                      <w:szCs w:val="16"/>
                      <w:lang w:val="el-GR"/>
                    </w:rPr>
                  </w:pPr>
                </w:p>
              </w:tc>
              <w:tc>
                <w:tcPr>
                  <w:tcW w:w="1843" w:type="dxa"/>
                  <w:shd w:val="clear" w:color="auto" w:fill="auto"/>
                </w:tcPr>
                <w:p w14:paraId="45F22552" w14:textId="77777777" w:rsidR="00C05BA7" w:rsidRPr="00486EC5" w:rsidRDefault="00C05BA7" w:rsidP="00C05BA7">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4 - Ένα αποτελεσματικό σύστημα δεικτών αποτελεσμάτων που περιλαμβάνει: θέσπιση στόχων για τους δείκτες αυτούς</w:t>
                  </w:r>
                </w:p>
              </w:tc>
              <w:tc>
                <w:tcPr>
                  <w:tcW w:w="3260" w:type="dxa"/>
                  <w:shd w:val="clear" w:color="auto" w:fill="auto"/>
                </w:tcPr>
                <w:p w14:paraId="758EA64F"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Συναντήσεις με αρμόδιους φορείς / καθοδήγηση από Διαχειριστική Αρχή για να καθοριστούν οι ακριβείς δείκτες εκροών και αποτελεσμάτων και οι αντίστοιχες τιμές.</w:t>
                  </w:r>
                </w:p>
              </w:tc>
              <w:tc>
                <w:tcPr>
                  <w:tcW w:w="1134" w:type="dxa"/>
                  <w:shd w:val="clear" w:color="auto" w:fill="auto"/>
                </w:tcPr>
                <w:p w14:paraId="7C8F17A3" w14:textId="77777777" w:rsidR="00C05BA7" w:rsidRPr="00486EC5" w:rsidRDefault="00C05BA7" w:rsidP="00C05BA7">
                  <w:pPr>
                    <w:snapToGrid w:val="0"/>
                    <w:spacing w:before="120" w:after="0"/>
                    <w:jc w:val="center"/>
                    <w:rPr>
                      <w:rFonts w:asciiTheme="minorHAnsi" w:hAnsiTheme="minorHAnsi" w:cs="Calibri"/>
                      <w:sz w:val="16"/>
                      <w:szCs w:val="16"/>
                      <w:lang w:val="el-GR"/>
                    </w:rPr>
                  </w:pPr>
                  <w:r w:rsidRPr="00486EC5">
                    <w:rPr>
                      <w:rFonts w:asciiTheme="minorHAnsi" w:hAnsiTheme="minorHAnsi" w:cs="Calibri"/>
                      <w:sz w:val="16"/>
                      <w:szCs w:val="16"/>
                      <w:lang w:val="el-GR"/>
                    </w:rPr>
                    <w:t>31/12/2014</w:t>
                  </w:r>
                </w:p>
              </w:tc>
              <w:tc>
                <w:tcPr>
                  <w:tcW w:w="1418" w:type="dxa"/>
                  <w:vMerge/>
                  <w:shd w:val="clear" w:color="auto" w:fill="auto"/>
                </w:tcPr>
                <w:p w14:paraId="188ABAA2" w14:textId="77777777" w:rsidR="00C05BA7" w:rsidRPr="00486EC5" w:rsidRDefault="00C05BA7" w:rsidP="00C05BA7">
                  <w:pPr>
                    <w:snapToGrid w:val="0"/>
                    <w:spacing w:after="0"/>
                    <w:jc w:val="center"/>
                    <w:rPr>
                      <w:rFonts w:asciiTheme="minorHAnsi" w:hAnsiTheme="minorHAnsi" w:cs="Calibri"/>
                      <w:b/>
                      <w:sz w:val="16"/>
                      <w:szCs w:val="16"/>
                      <w:lang w:val="el-GR"/>
                    </w:rPr>
                  </w:pPr>
                </w:p>
              </w:tc>
              <w:tc>
                <w:tcPr>
                  <w:tcW w:w="992" w:type="dxa"/>
                  <w:shd w:val="clear" w:color="auto" w:fill="auto"/>
                </w:tcPr>
                <w:p w14:paraId="1D269A6B" w14:textId="77777777" w:rsidR="00C05BA7" w:rsidRPr="00486EC5" w:rsidRDefault="00C05BA7" w:rsidP="00C05BA7">
                  <w:pPr>
                    <w:snapToGrid w:val="0"/>
                    <w:spacing w:before="120" w:after="120"/>
                    <w:jc w:val="center"/>
                    <w:rPr>
                      <w:rFonts w:asciiTheme="minorHAnsi" w:hAnsiTheme="minorHAnsi" w:cs="Calibri"/>
                      <w:sz w:val="16"/>
                      <w:szCs w:val="16"/>
                      <w:lang w:val="el-GR"/>
                    </w:rPr>
                  </w:pPr>
                  <w:r w:rsidRPr="00486EC5">
                    <w:rPr>
                      <w:rFonts w:asciiTheme="minorHAnsi" w:hAnsiTheme="minorHAnsi" w:cs="Calibri"/>
                      <w:sz w:val="16"/>
                      <w:szCs w:val="16"/>
                      <w:lang w:val="el-GR"/>
                    </w:rPr>
                    <w:t>ΝΑΙ</w:t>
                  </w:r>
                </w:p>
              </w:tc>
              <w:tc>
                <w:tcPr>
                  <w:tcW w:w="850" w:type="dxa"/>
                  <w:shd w:val="clear" w:color="auto" w:fill="auto"/>
                </w:tcPr>
                <w:p w14:paraId="6CFEABDF" w14:textId="77777777" w:rsidR="00C05BA7" w:rsidRPr="00486EC5" w:rsidRDefault="00C05BA7" w:rsidP="00C05BA7">
                  <w:pPr>
                    <w:snapToGrid w:val="0"/>
                    <w:spacing w:before="120" w:after="120"/>
                    <w:jc w:val="center"/>
                    <w:rPr>
                      <w:rFonts w:asciiTheme="minorHAnsi" w:hAnsiTheme="minorHAnsi" w:cs="Calibri"/>
                      <w:sz w:val="16"/>
                      <w:szCs w:val="16"/>
                      <w:lang w:val="el-GR"/>
                    </w:rPr>
                  </w:pPr>
                  <w:r w:rsidRPr="00486EC5">
                    <w:rPr>
                      <w:rFonts w:asciiTheme="minorHAnsi" w:hAnsiTheme="minorHAnsi" w:cs="Calibri"/>
                      <w:sz w:val="16"/>
                      <w:szCs w:val="16"/>
                      <w:lang w:val="el-GR"/>
                    </w:rPr>
                    <w:t>ΝΑΙ</w:t>
                  </w:r>
                </w:p>
              </w:tc>
              <w:tc>
                <w:tcPr>
                  <w:tcW w:w="1276" w:type="dxa"/>
                  <w:shd w:val="clear" w:color="auto" w:fill="auto"/>
                </w:tcPr>
                <w:p w14:paraId="01148247" w14:textId="77777777" w:rsidR="00C05BA7" w:rsidRPr="00486EC5" w:rsidRDefault="00C05BA7" w:rsidP="00C05BA7">
                  <w:pPr>
                    <w:snapToGrid w:val="0"/>
                    <w:spacing w:before="120" w:after="0"/>
                    <w:jc w:val="center"/>
                    <w:rPr>
                      <w:rFonts w:asciiTheme="minorHAnsi" w:hAnsiTheme="minorHAnsi" w:cs="Calibri"/>
                      <w:sz w:val="16"/>
                      <w:szCs w:val="16"/>
                    </w:rPr>
                  </w:pPr>
                </w:p>
              </w:tc>
              <w:tc>
                <w:tcPr>
                  <w:tcW w:w="1945" w:type="dxa"/>
                  <w:shd w:val="clear" w:color="auto" w:fill="auto"/>
                </w:tcPr>
                <w:p w14:paraId="0AD67F70"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Οι δείκτες αποτελέσματος και οι στόχοι/ορόσημα για κάθε δείκτη περιλαμβάνονται στα  Επιχειρησιακά Προγράμματα, τα οποία εγκρίθηκαν από την Ευρωπαϊκή Επιτροπή την περίοδο 2014-2015.</w:t>
                  </w:r>
                </w:p>
                <w:p w14:paraId="61E3B484" w14:textId="43150B2B" w:rsidR="00C05BA7" w:rsidRPr="00486EC5" w:rsidRDefault="00310B4C"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7/5/17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(2017)3373830)</w:t>
                  </w:r>
                  <w:r w:rsidRPr="00486EC5">
                    <w:rPr>
                      <w:rFonts w:asciiTheme="minorHAnsi" w:hAnsiTheme="minorHAnsi" w:cs="Calibri"/>
                      <w:sz w:val="16"/>
                      <w:szCs w:val="16"/>
                      <w:lang w:val="el-GR"/>
                    </w:rPr>
                    <w:t>.</w:t>
                  </w:r>
                </w:p>
              </w:tc>
            </w:tr>
            <w:tr w:rsidR="00C05BA7" w:rsidRPr="00486EC5" w14:paraId="6CB43EB4" w14:textId="77777777" w:rsidTr="00DD223D">
              <w:trPr>
                <w:trHeight w:val="274"/>
                <w:jc w:val="center"/>
              </w:trPr>
              <w:tc>
                <w:tcPr>
                  <w:tcW w:w="2302" w:type="dxa"/>
                  <w:vMerge/>
                </w:tcPr>
                <w:p w14:paraId="1681A5E1" w14:textId="77777777" w:rsidR="00C05BA7" w:rsidRPr="00486EC5" w:rsidRDefault="00C05BA7" w:rsidP="00C05BA7">
                  <w:pPr>
                    <w:snapToGrid w:val="0"/>
                    <w:spacing w:after="0"/>
                    <w:rPr>
                      <w:rFonts w:asciiTheme="minorHAnsi" w:hAnsiTheme="minorHAnsi" w:cs="Calibri"/>
                      <w:b/>
                      <w:sz w:val="16"/>
                      <w:szCs w:val="16"/>
                      <w:lang w:val="el-GR"/>
                    </w:rPr>
                  </w:pPr>
                </w:p>
              </w:tc>
              <w:tc>
                <w:tcPr>
                  <w:tcW w:w="1843" w:type="dxa"/>
                  <w:shd w:val="clear" w:color="auto" w:fill="auto"/>
                </w:tcPr>
                <w:p w14:paraId="06C55F84" w14:textId="77777777" w:rsidR="00C05BA7" w:rsidRPr="00486EC5" w:rsidRDefault="00C05BA7" w:rsidP="00C05BA7">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5 - Ένα αποτελεσματικό σύστημα δεικτών αποτελεσμάτων που περιλαμβάνει: τήρηση για κάθε δείκτη των ακόλουθων προϋποθέσεων: σταθερότητα και στατιστική επικύρωση, σαφήνεια της κανονιστικής ερμηνείας, ανταπόκριση στην πολιτική, έγκαιρη συλλογή των δεδομένων</w:t>
                  </w:r>
                </w:p>
              </w:tc>
              <w:tc>
                <w:tcPr>
                  <w:tcW w:w="3260" w:type="dxa"/>
                  <w:shd w:val="clear" w:color="auto" w:fill="auto"/>
                </w:tcPr>
                <w:p w14:paraId="5CEDF5F6"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Ο ορισμός, η πηγή πληροφόρησης, η μεθοδολογία καθορισμού και η συχνότητα ενημέρωσης του κάθε δείκτη καθορίζονται στο Επιχειρησιακό Πρόγραμμα και στο σχετικό έγγραφο μεθοδολογίας.</w:t>
                  </w:r>
                </w:p>
                <w:p w14:paraId="3001C23F"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συνδυάζεται με την ολοκλήρωση και λειτουργία του Ολοκληρωμένου Πληροφοριακού Συστήματος (ΟΠΣ) καθώς και τον προγραμματισμό προσκλήσεων για την ένταξη και έναρξη υλοποίησης των έργων.</w:t>
                  </w:r>
                </w:p>
                <w:p w14:paraId="4E85C998"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Τα στοιχεία για όλους τους δείκτες εκροών και αποτελέσματος συλλέγονται από το ΟΠΣ.</w:t>
                  </w:r>
                </w:p>
                <w:p w14:paraId="02A0DA7D"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Κατά τη διάρκεια εκτέλεσης των έργων, γίνεται παρακολούθηση των στόχων που τέθηκαν στο Τεχνικό Δελτίο Έργου (ΤΔΕ) σε εξαμηνιαία βάση μέσω της υποβολής και ελέγχου τυποποιημένων δελτίων παρακολούθησης έργων.</w:t>
                  </w:r>
                </w:p>
                <w:p w14:paraId="7D93BCD5" w14:textId="6CB8A50D" w:rsidR="00486EC5" w:rsidRPr="00486EC5" w:rsidRDefault="00486EC5" w:rsidP="00C05BA7">
                  <w:pPr>
                    <w:snapToGrid w:val="0"/>
                    <w:spacing w:before="120" w:after="0" w:line="240" w:lineRule="auto"/>
                    <w:rPr>
                      <w:rFonts w:asciiTheme="minorHAnsi" w:hAnsiTheme="minorHAnsi" w:cs="Calibri"/>
                      <w:sz w:val="16"/>
                      <w:szCs w:val="16"/>
                      <w:lang w:val="el-GR"/>
                    </w:rPr>
                  </w:pPr>
                </w:p>
              </w:tc>
              <w:tc>
                <w:tcPr>
                  <w:tcW w:w="1134" w:type="dxa"/>
                  <w:shd w:val="clear" w:color="auto" w:fill="auto"/>
                </w:tcPr>
                <w:p w14:paraId="27C037CF" w14:textId="77777777" w:rsidR="00C05BA7" w:rsidRPr="00486EC5" w:rsidRDefault="00C05BA7" w:rsidP="00C05BA7">
                  <w:pPr>
                    <w:snapToGrid w:val="0"/>
                    <w:spacing w:before="120" w:after="0"/>
                    <w:jc w:val="center"/>
                    <w:rPr>
                      <w:rFonts w:asciiTheme="minorHAnsi" w:hAnsiTheme="minorHAnsi" w:cs="Calibri"/>
                      <w:sz w:val="16"/>
                      <w:szCs w:val="16"/>
                    </w:rPr>
                  </w:pPr>
                  <w:r w:rsidRPr="00486EC5">
                    <w:rPr>
                      <w:rFonts w:asciiTheme="minorHAnsi" w:hAnsiTheme="minorHAnsi" w:cs="Calibri"/>
                      <w:sz w:val="16"/>
                      <w:szCs w:val="16"/>
                    </w:rPr>
                    <w:t>30/06/2015</w:t>
                  </w:r>
                </w:p>
              </w:tc>
              <w:tc>
                <w:tcPr>
                  <w:tcW w:w="1418" w:type="dxa"/>
                  <w:vMerge/>
                </w:tcPr>
                <w:p w14:paraId="1429C091" w14:textId="77777777" w:rsidR="00C05BA7" w:rsidRPr="00486EC5" w:rsidRDefault="00C05BA7" w:rsidP="00C05BA7">
                  <w:pPr>
                    <w:snapToGrid w:val="0"/>
                    <w:spacing w:after="0"/>
                    <w:jc w:val="center"/>
                    <w:rPr>
                      <w:rFonts w:asciiTheme="minorHAnsi" w:hAnsiTheme="minorHAnsi" w:cs="Calibri"/>
                      <w:b/>
                      <w:sz w:val="16"/>
                      <w:szCs w:val="16"/>
                    </w:rPr>
                  </w:pPr>
                </w:p>
              </w:tc>
              <w:tc>
                <w:tcPr>
                  <w:tcW w:w="992" w:type="dxa"/>
                  <w:shd w:val="clear" w:color="auto" w:fill="auto"/>
                </w:tcPr>
                <w:p w14:paraId="20CD2F47" w14:textId="77777777" w:rsidR="00C05BA7" w:rsidRPr="00486EC5" w:rsidRDefault="00C05BA7" w:rsidP="00C05BA7">
                  <w:pPr>
                    <w:snapToGrid w:val="0"/>
                    <w:spacing w:before="120" w:after="120"/>
                    <w:jc w:val="center"/>
                    <w:rPr>
                      <w:rFonts w:asciiTheme="minorHAnsi" w:hAnsiTheme="minorHAnsi" w:cs="Calibri"/>
                      <w:sz w:val="16"/>
                      <w:szCs w:val="16"/>
                      <w:lang w:val="el-GR"/>
                    </w:rPr>
                  </w:pPr>
                  <w:r w:rsidRPr="00486EC5">
                    <w:rPr>
                      <w:rFonts w:asciiTheme="minorHAnsi" w:hAnsiTheme="minorHAnsi" w:cs="Calibri"/>
                      <w:sz w:val="16"/>
                      <w:szCs w:val="16"/>
                      <w:lang w:val="el-GR"/>
                    </w:rPr>
                    <w:t>ΟΧΙ</w:t>
                  </w:r>
                </w:p>
              </w:tc>
              <w:tc>
                <w:tcPr>
                  <w:tcW w:w="850" w:type="dxa"/>
                  <w:shd w:val="clear" w:color="auto" w:fill="auto"/>
                </w:tcPr>
                <w:p w14:paraId="7A9B7DE6" w14:textId="77777777" w:rsidR="00C05BA7" w:rsidRPr="00486EC5" w:rsidRDefault="00C05BA7" w:rsidP="00C05BA7">
                  <w:pPr>
                    <w:snapToGrid w:val="0"/>
                    <w:spacing w:before="120" w:after="120"/>
                    <w:jc w:val="center"/>
                    <w:rPr>
                      <w:rFonts w:asciiTheme="minorHAnsi" w:hAnsiTheme="minorHAnsi" w:cs="Calibri"/>
                      <w:sz w:val="16"/>
                      <w:szCs w:val="16"/>
                      <w:lang w:val="el-GR"/>
                    </w:rPr>
                  </w:pPr>
                  <w:r w:rsidRPr="00486EC5">
                    <w:rPr>
                      <w:rFonts w:asciiTheme="minorHAnsi" w:hAnsiTheme="minorHAnsi" w:cs="Calibri"/>
                      <w:sz w:val="16"/>
                      <w:szCs w:val="16"/>
                      <w:lang w:val="el-GR"/>
                    </w:rPr>
                    <w:t>ΝΑΙ</w:t>
                  </w:r>
                </w:p>
              </w:tc>
              <w:tc>
                <w:tcPr>
                  <w:tcW w:w="1276" w:type="dxa"/>
                  <w:shd w:val="clear" w:color="auto" w:fill="auto"/>
                </w:tcPr>
                <w:p w14:paraId="3A39C8DB" w14:textId="77777777" w:rsidR="00C05BA7" w:rsidRPr="00486EC5" w:rsidRDefault="00C05BA7" w:rsidP="00C05BA7">
                  <w:pPr>
                    <w:snapToGrid w:val="0"/>
                    <w:spacing w:before="120" w:after="0"/>
                    <w:jc w:val="center"/>
                    <w:rPr>
                      <w:rFonts w:asciiTheme="minorHAnsi" w:hAnsiTheme="minorHAnsi" w:cs="Calibri"/>
                      <w:sz w:val="16"/>
                      <w:szCs w:val="16"/>
                      <w:lang w:val="el-GR"/>
                    </w:rPr>
                  </w:pPr>
                  <w:r w:rsidRPr="00486EC5">
                    <w:rPr>
                      <w:rFonts w:asciiTheme="minorHAnsi" w:hAnsiTheme="minorHAnsi" w:cs="Calibri"/>
                      <w:sz w:val="16"/>
                      <w:szCs w:val="16"/>
                      <w:lang w:val="el-GR"/>
                    </w:rPr>
                    <w:t>14/10/2016</w:t>
                  </w:r>
                </w:p>
              </w:tc>
              <w:tc>
                <w:tcPr>
                  <w:tcW w:w="1945" w:type="dxa"/>
                </w:tcPr>
                <w:p w14:paraId="55DB4D67"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συνδέεται με την ολοκλήρωση και λειτουργία του ΟΠΣ, το οποίο η Διαχειριστική Αρχή παρέλαβε στις 14/10/16.</w:t>
                  </w:r>
                </w:p>
                <w:p w14:paraId="59354C12" w14:textId="0F572628" w:rsidR="00C05BA7" w:rsidRPr="00486EC5" w:rsidRDefault="00310B4C" w:rsidP="00310B4C">
                  <w:pPr>
                    <w:snapToGrid w:val="0"/>
                    <w:spacing w:before="120" w:after="0"/>
                    <w:rPr>
                      <w:rFonts w:asciiTheme="minorHAnsi" w:hAnsiTheme="minorHAnsi" w:cs="Calibri"/>
                      <w:b/>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7/5/17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(2017)3373830)</w:t>
                  </w:r>
                  <w:r w:rsidRPr="00486EC5">
                    <w:rPr>
                      <w:rFonts w:asciiTheme="minorHAnsi" w:hAnsiTheme="minorHAnsi" w:cs="Calibri"/>
                      <w:sz w:val="16"/>
                      <w:szCs w:val="16"/>
                      <w:lang w:val="el-GR"/>
                    </w:rPr>
                    <w:t>.</w:t>
                  </w:r>
                </w:p>
              </w:tc>
            </w:tr>
            <w:tr w:rsidR="00C05BA7" w:rsidRPr="00486EC5" w14:paraId="37948885" w14:textId="77777777" w:rsidTr="00DD223D">
              <w:trPr>
                <w:trHeight w:val="266"/>
                <w:jc w:val="center"/>
              </w:trPr>
              <w:tc>
                <w:tcPr>
                  <w:tcW w:w="2302" w:type="dxa"/>
                  <w:vMerge/>
                  <w:tcBorders>
                    <w:bottom w:val="single" w:sz="4" w:space="0" w:color="auto"/>
                  </w:tcBorders>
                </w:tcPr>
                <w:p w14:paraId="59D67C5F" w14:textId="77777777" w:rsidR="00C05BA7" w:rsidRPr="00486EC5" w:rsidRDefault="00C05BA7" w:rsidP="00C05BA7">
                  <w:pPr>
                    <w:snapToGrid w:val="0"/>
                    <w:spacing w:after="0"/>
                    <w:rPr>
                      <w:rFonts w:asciiTheme="minorHAnsi" w:hAnsiTheme="minorHAnsi" w:cs="Calibri"/>
                      <w:b/>
                      <w:sz w:val="16"/>
                      <w:szCs w:val="16"/>
                      <w:lang w:val="el-GR"/>
                    </w:rPr>
                  </w:pPr>
                </w:p>
              </w:tc>
              <w:tc>
                <w:tcPr>
                  <w:tcW w:w="1843" w:type="dxa"/>
                  <w:tcBorders>
                    <w:bottom w:val="single" w:sz="4" w:space="0" w:color="auto"/>
                  </w:tcBorders>
                  <w:shd w:val="clear" w:color="auto" w:fill="auto"/>
                </w:tcPr>
                <w:p w14:paraId="146E2174" w14:textId="77777777" w:rsidR="00C05BA7" w:rsidRPr="00486EC5" w:rsidRDefault="00C05BA7" w:rsidP="00C05BA7">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6 - Διαδικασίες που διασφαλίζουν ότι όλες οι πράξεις που χρηματοδοτούνται από το πρόγραμμα περιλαμβάνουν ένα αποτελεσματικό σύστημα δεικτών.</w:t>
                  </w:r>
                </w:p>
              </w:tc>
              <w:tc>
                <w:tcPr>
                  <w:tcW w:w="3260" w:type="dxa"/>
                  <w:tcBorders>
                    <w:bottom w:val="single" w:sz="4" w:space="0" w:color="auto"/>
                  </w:tcBorders>
                  <w:shd w:val="clear" w:color="auto" w:fill="auto"/>
                </w:tcPr>
                <w:p w14:paraId="600629EB"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Στις Προσκλήσεις Υποβολής Προτάσεων και στις Αποφάσεις Έγκρισης καθορίζονται ποσοτικοποιημένοι δείκτες βάσει των οποίων μετριέται η επίτευξη των στόχων του κάθε Άξονα και των έργων.</w:t>
                  </w:r>
                </w:p>
                <w:p w14:paraId="678300D9"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Κατά την αξιολόγηση των έργων θα εκτιμάται ο βαθμός συμβολής στους στόχους του Προγράμματος.</w:t>
                  </w:r>
                </w:p>
                <w:p w14:paraId="27C474ED"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Στο ΤΔΕ θα περιλαμβάνεται 1 τουλάχιστον σχετικός δείκτης εκροών. Στο ΟΠΣ θα περιλαμβάνεται  αυτοματοποιημένος έλεγχος για την επιλογή τουλάχιστο 1 δείκτη εκροών σε κάθε ΤΔΕ.</w:t>
                  </w:r>
                </w:p>
                <w:p w14:paraId="36C677BF"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Θα δημιουργηθεί ξεχωριστή αναφορά για τους δείκτες αποτελέσματος.</w:t>
                  </w:r>
                </w:p>
                <w:p w14:paraId="76ECB772"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Κατά την εκτέλεση των έργων, θα γίνεται παρακολούθηση των στόχων του ΤΔΕ σε εξαμηνιαία βάση.</w:t>
                  </w:r>
                </w:p>
                <w:p w14:paraId="7246812E"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ΟΠΣ θα παρέχει τη δυνατότητα εξαγωγής αναφορών που θα συνοψίζουν την πρόοδο των δεικτών σε επίπεδο ΕΠ, ΑΠ και ΕπΠ μετά από επεξεργασία των στοιχείων που καταχωρούνται σε επίπεδο έργων.</w:t>
                  </w:r>
                </w:p>
                <w:p w14:paraId="15D6A9CA"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Πρόσθετη λειτουργικότητα θα επιτρέπει την εξαγωγή στοιχείων για την ετήσια έκθεση. Η ΔΑ μεριμνά για τη συλλογή και φύλαξη των δεδομένων που απαιτούνται.</w:t>
                  </w:r>
                </w:p>
              </w:tc>
              <w:tc>
                <w:tcPr>
                  <w:tcW w:w="1134" w:type="dxa"/>
                  <w:tcBorders>
                    <w:bottom w:val="single" w:sz="4" w:space="0" w:color="auto"/>
                  </w:tcBorders>
                  <w:shd w:val="clear" w:color="auto" w:fill="auto"/>
                </w:tcPr>
                <w:p w14:paraId="673C6965" w14:textId="77777777" w:rsidR="00C05BA7" w:rsidRPr="00486EC5" w:rsidRDefault="00C05BA7" w:rsidP="00C05BA7">
                  <w:pPr>
                    <w:snapToGrid w:val="0"/>
                    <w:spacing w:before="120" w:after="0"/>
                    <w:jc w:val="center"/>
                    <w:rPr>
                      <w:rFonts w:asciiTheme="minorHAnsi" w:hAnsiTheme="minorHAnsi" w:cs="Calibri"/>
                      <w:sz w:val="16"/>
                      <w:szCs w:val="16"/>
                      <w:lang w:val="el-GR"/>
                    </w:rPr>
                  </w:pPr>
                  <w:r w:rsidRPr="00486EC5">
                    <w:rPr>
                      <w:rFonts w:asciiTheme="minorHAnsi" w:hAnsiTheme="minorHAnsi" w:cs="Calibri"/>
                      <w:sz w:val="16"/>
                      <w:szCs w:val="16"/>
                      <w:lang w:val="el-GR"/>
                    </w:rPr>
                    <w:t>31/12/2015</w:t>
                  </w:r>
                </w:p>
              </w:tc>
              <w:tc>
                <w:tcPr>
                  <w:tcW w:w="1418" w:type="dxa"/>
                  <w:vMerge/>
                  <w:tcBorders>
                    <w:bottom w:val="single" w:sz="4" w:space="0" w:color="auto"/>
                  </w:tcBorders>
                </w:tcPr>
                <w:p w14:paraId="13A43EAE" w14:textId="77777777" w:rsidR="00C05BA7" w:rsidRPr="00486EC5" w:rsidRDefault="00C05BA7" w:rsidP="00C05BA7">
                  <w:pPr>
                    <w:snapToGrid w:val="0"/>
                    <w:spacing w:after="0"/>
                    <w:jc w:val="center"/>
                    <w:rPr>
                      <w:rFonts w:asciiTheme="minorHAnsi" w:hAnsiTheme="minorHAnsi" w:cs="Calibri"/>
                      <w:b/>
                      <w:sz w:val="16"/>
                      <w:szCs w:val="16"/>
                    </w:rPr>
                  </w:pPr>
                </w:p>
              </w:tc>
              <w:tc>
                <w:tcPr>
                  <w:tcW w:w="992" w:type="dxa"/>
                  <w:tcBorders>
                    <w:bottom w:val="single" w:sz="4" w:space="0" w:color="auto"/>
                  </w:tcBorders>
                  <w:shd w:val="clear" w:color="auto" w:fill="auto"/>
                </w:tcPr>
                <w:p w14:paraId="1F055DC6" w14:textId="77777777" w:rsidR="00C05BA7" w:rsidRPr="00486EC5" w:rsidRDefault="00C05BA7" w:rsidP="00C05BA7">
                  <w:pPr>
                    <w:snapToGrid w:val="0"/>
                    <w:spacing w:before="120" w:after="120"/>
                    <w:jc w:val="center"/>
                    <w:rPr>
                      <w:rFonts w:asciiTheme="minorHAnsi" w:hAnsiTheme="minorHAnsi" w:cs="Calibri"/>
                      <w:sz w:val="16"/>
                      <w:szCs w:val="16"/>
                      <w:lang w:val="el-GR"/>
                    </w:rPr>
                  </w:pPr>
                  <w:r w:rsidRPr="00486EC5">
                    <w:rPr>
                      <w:rFonts w:asciiTheme="minorHAnsi" w:hAnsiTheme="minorHAnsi" w:cs="Calibri"/>
                      <w:sz w:val="16"/>
                      <w:szCs w:val="16"/>
                      <w:lang w:val="el-GR"/>
                    </w:rPr>
                    <w:t>ΟΧΙ</w:t>
                  </w:r>
                </w:p>
              </w:tc>
              <w:tc>
                <w:tcPr>
                  <w:tcW w:w="850" w:type="dxa"/>
                  <w:tcBorders>
                    <w:bottom w:val="single" w:sz="4" w:space="0" w:color="auto"/>
                  </w:tcBorders>
                  <w:shd w:val="clear" w:color="auto" w:fill="auto"/>
                </w:tcPr>
                <w:p w14:paraId="2BEB3020" w14:textId="77777777" w:rsidR="00C05BA7" w:rsidRPr="00486EC5" w:rsidRDefault="00C05BA7" w:rsidP="00C05BA7">
                  <w:pPr>
                    <w:snapToGrid w:val="0"/>
                    <w:spacing w:before="120" w:after="120"/>
                    <w:jc w:val="center"/>
                    <w:rPr>
                      <w:rFonts w:asciiTheme="minorHAnsi" w:hAnsiTheme="minorHAnsi" w:cs="Calibri"/>
                      <w:sz w:val="16"/>
                      <w:szCs w:val="16"/>
                      <w:lang w:val="el-GR"/>
                    </w:rPr>
                  </w:pPr>
                  <w:r w:rsidRPr="00486EC5">
                    <w:rPr>
                      <w:rFonts w:asciiTheme="minorHAnsi" w:hAnsiTheme="minorHAnsi" w:cs="Calibri"/>
                      <w:sz w:val="16"/>
                      <w:szCs w:val="16"/>
                      <w:lang w:val="el-GR"/>
                    </w:rPr>
                    <w:t>ΝΑΙ</w:t>
                  </w:r>
                </w:p>
              </w:tc>
              <w:tc>
                <w:tcPr>
                  <w:tcW w:w="1276" w:type="dxa"/>
                  <w:tcBorders>
                    <w:bottom w:val="single" w:sz="4" w:space="0" w:color="auto"/>
                  </w:tcBorders>
                  <w:shd w:val="clear" w:color="auto" w:fill="auto"/>
                </w:tcPr>
                <w:p w14:paraId="78A20221" w14:textId="77777777" w:rsidR="00C05BA7" w:rsidRPr="00486EC5" w:rsidRDefault="00C05BA7" w:rsidP="00C05BA7">
                  <w:pPr>
                    <w:snapToGrid w:val="0"/>
                    <w:spacing w:before="120" w:after="0"/>
                    <w:jc w:val="center"/>
                    <w:rPr>
                      <w:rFonts w:asciiTheme="minorHAnsi" w:hAnsiTheme="minorHAnsi" w:cs="Calibri"/>
                      <w:sz w:val="16"/>
                      <w:szCs w:val="16"/>
                    </w:rPr>
                  </w:pPr>
                  <w:r w:rsidRPr="00486EC5">
                    <w:rPr>
                      <w:rFonts w:asciiTheme="minorHAnsi" w:hAnsiTheme="minorHAnsi" w:cs="Calibri"/>
                      <w:sz w:val="16"/>
                      <w:szCs w:val="16"/>
                      <w:lang w:val="el-GR"/>
                    </w:rPr>
                    <w:t>14/10/2016</w:t>
                  </w:r>
                </w:p>
              </w:tc>
              <w:tc>
                <w:tcPr>
                  <w:tcW w:w="1945" w:type="dxa"/>
                  <w:tcBorders>
                    <w:bottom w:val="single" w:sz="4" w:space="0" w:color="auto"/>
                  </w:tcBorders>
                </w:tcPr>
                <w:p w14:paraId="7A38A944"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διασφαλίζεται μέσα από το Σύστημα Διαχείρισης και Ελέγχου (ΣΔΕ) που ετοίμασε η Διαχειριστική Αρχή, και συγκεκριμένα από τις Εγκυκλίους 1 και 9 που αφορούν την ένταξη Έργων Δημοσίων Συμβάσεων και Έργων Σχεδίων Χορηγιών αντίστοιχα, και την Εγκύκλιο 7 που αφορά στην παρακολούθηση των Έργων.</w:t>
                  </w:r>
                </w:p>
                <w:p w14:paraId="6AC28A84" w14:textId="77777777" w:rsidR="00C05BA7" w:rsidRPr="00486EC5" w:rsidRDefault="00C05BA7"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συνδέεται με την ολοκλήρωση και λειτουργία του ΟΠΣ, το οποίο η Διαχειριστική Αρχή παρέλαβε στις 14/10/16.</w:t>
                  </w:r>
                </w:p>
                <w:p w14:paraId="4448CAB0" w14:textId="2060BA85" w:rsidR="00C05BA7" w:rsidRPr="00486EC5" w:rsidRDefault="00310B4C" w:rsidP="00C05BA7">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7/5/17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(2017)3373830)</w:t>
                  </w:r>
                  <w:r w:rsidRPr="00486EC5">
                    <w:rPr>
                      <w:rFonts w:asciiTheme="minorHAnsi" w:hAnsiTheme="minorHAnsi" w:cs="Calibri"/>
                      <w:sz w:val="16"/>
                      <w:szCs w:val="16"/>
                      <w:lang w:val="el-GR"/>
                    </w:rPr>
                    <w:t>.</w:t>
                  </w:r>
                </w:p>
              </w:tc>
            </w:tr>
          </w:tbl>
          <w:p w14:paraId="58463433" w14:textId="77777777" w:rsidR="00C05BA7" w:rsidRPr="00C05BA7" w:rsidRDefault="00C05BA7" w:rsidP="00C05BA7">
            <w:pPr>
              <w:spacing w:after="0"/>
              <w:jc w:val="center"/>
              <w:rPr>
                <w:rFonts w:cs="Calibri"/>
                <w:b/>
                <w:sz w:val="20"/>
                <w:szCs w:val="20"/>
                <w:lang w:val="el-GR"/>
              </w:rPr>
            </w:pPr>
          </w:p>
          <w:p w14:paraId="184D7939" w14:textId="77777777" w:rsidR="00C05BA7" w:rsidRPr="00C05BA7" w:rsidRDefault="00C05BA7" w:rsidP="00C05BA7">
            <w:pPr>
              <w:spacing w:after="0"/>
              <w:jc w:val="center"/>
              <w:rPr>
                <w:rFonts w:cs="Calibri"/>
                <w:b/>
                <w:sz w:val="18"/>
                <w:szCs w:val="18"/>
                <w:lang w:val="el-GR"/>
              </w:rPr>
            </w:pPr>
          </w:p>
        </w:tc>
      </w:tr>
    </w:tbl>
    <w:p w14:paraId="159AB5B0" w14:textId="1FD26A1B" w:rsidR="00486EC5" w:rsidRDefault="00486EC5" w:rsidP="00C05BA7">
      <w:pPr>
        <w:jc w:val="center"/>
        <w:rPr>
          <w:rFonts w:cs="Calibri"/>
          <w:b/>
          <w:sz w:val="20"/>
          <w:szCs w:val="20"/>
          <w:lang w:val="el-GR"/>
        </w:rPr>
      </w:pPr>
    </w:p>
    <w:p w14:paraId="663D5BF5" w14:textId="77777777" w:rsidR="00486EC5" w:rsidRDefault="00486EC5">
      <w:pPr>
        <w:spacing w:after="0" w:line="240" w:lineRule="auto"/>
        <w:rPr>
          <w:rFonts w:cs="Calibri"/>
          <w:b/>
          <w:sz w:val="20"/>
          <w:szCs w:val="20"/>
          <w:lang w:val="el-GR"/>
        </w:rPr>
      </w:pPr>
      <w:r>
        <w:rPr>
          <w:rFonts w:cs="Calibri"/>
          <w:b/>
          <w:sz w:val="20"/>
          <w:szCs w:val="20"/>
          <w:lang w:val="el-GR"/>
        </w:rPr>
        <w:br w:type="page"/>
      </w:r>
    </w:p>
    <w:p w14:paraId="283C5755" w14:textId="5885C789" w:rsidR="00C05BA7" w:rsidRPr="00C05BA7" w:rsidRDefault="00486EC5" w:rsidP="00C05BA7">
      <w:pPr>
        <w:jc w:val="center"/>
        <w:rPr>
          <w:lang w:val="el-GR"/>
        </w:rPr>
      </w:pPr>
      <w:r w:rsidRPr="002E17B7">
        <w:rPr>
          <w:rFonts w:cs="Calibri"/>
          <w:b/>
          <w:sz w:val="20"/>
          <w:szCs w:val="20"/>
          <w:lang w:val="el-GR"/>
        </w:rPr>
        <w:lastRenderedPageBreak/>
        <w:t xml:space="preserve">ΠΙΝΑΚΑΣ Γ: Μέτρα που λήφθηκαν για την τήρηση των εφαρμοστέων Θεματικών Εκ των Προτέρων Αιρεσιμοτήτων - </w:t>
      </w:r>
      <w:r>
        <w:rPr>
          <w:rFonts w:cs="Calibri"/>
          <w:b/>
          <w:sz w:val="20"/>
          <w:szCs w:val="20"/>
          <w:lang w:val="el-GR"/>
        </w:rPr>
        <w:t>Ταμεία Πολιτικής Συνοχής και ΕΓΤΑΑ</w:t>
      </w:r>
    </w:p>
    <w:tbl>
      <w:tblPr>
        <w:tblW w:w="5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1655"/>
        <w:gridCol w:w="3367"/>
        <w:gridCol w:w="1181"/>
        <w:gridCol w:w="1322"/>
        <w:gridCol w:w="1104"/>
        <w:gridCol w:w="1003"/>
        <w:gridCol w:w="1134"/>
        <w:gridCol w:w="2209"/>
      </w:tblGrid>
      <w:tr w:rsidR="005C0158" w:rsidRPr="00486EC5" w14:paraId="242DE6AB" w14:textId="77777777" w:rsidTr="004003A3">
        <w:trPr>
          <w:trHeight w:val="493"/>
          <w:tblHeader/>
          <w:jc w:val="center"/>
        </w:trPr>
        <w:tc>
          <w:tcPr>
            <w:tcW w:w="597" w:type="pct"/>
            <w:shd w:val="clear" w:color="auto" w:fill="D9D9D9"/>
          </w:tcPr>
          <w:p w14:paraId="7467E8F7" w14:textId="77777777" w:rsidR="005C0158" w:rsidRPr="00486EC5" w:rsidRDefault="005C0158" w:rsidP="004003A3">
            <w:pPr>
              <w:snapToGrid w:val="0"/>
              <w:spacing w:before="120" w:after="0" w:line="240" w:lineRule="auto"/>
              <w:jc w:val="center"/>
              <w:rPr>
                <w:rFonts w:asciiTheme="minorHAnsi" w:hAnsiTheme="minorHAnsi" w:cs="Calibri"/>
                <w:b/>
                <w:sz w:val="16"/>
                <w:szCs w:val="16"/>
                <w:lang w:val="el-GR"/>
              </w:rPr>
            </w:pPr>
            <w:r w:rsidRPr="00486EC5">
              <w:rPr>
                <w:rFonts w:asciiTheme="minorHAnsi" w:hAnsiTheme="minorHAnsi" w:cs="Calibri"/>
                <w:b/>
                <w:sz w:val="16"/>
                <w:szCs w:val="16"/>
                <w:lang w:val="el-GR"/>
              </w:rPr>
              <w:t>Θεματική εκ των προτέρων αιρεσιμότητα</w:t>
            </w:r>
          </w:p>
        </w:tc>
        <w:tc>
          <w:tcPr>
            <w:tcW w:w="599" w:type="pct"/>
            <w:shd w:val="clear" w:color="auto" w:fill="D9D9D9"/>
          </w:tcPr>
          <w:p w14:paraId="51612F02" w14:textId="77777777" w:rsidR="005C0158" w:rsidRPr="00486EC5" w:rsidRDefault="005C0158" w:rsidP="004003A3">
            <w:pPr>
              <w:snapToGrid w:val="0"/>
              <w:spacing w:before="120" w:after="0" w:line="240" w:lineRule="auto"/>
              <w:jc w:val="center"/>
              <w:rPr>
                <w:rFonts w:asciiTheme="minorHAnsi" w:hAnsiTheme="minorHAnsi" w:cs="Calibri"/>
                <w:b/>
                <w:sz w:val="16"/>
                <w:szCs w:val="16"/>
              </w:rPr>
            </w:pPr>
            <w:r w:rsidRPr="00486EC5">
              <w:rPr>
                <w:rFonts w:asciiTheme="minorHAnsi" w:hAnsiTheme="minorHAnsi" w:cs="Calibri"/>
                <w:b/>
                <w:sz w:val="16"/>
                <w:szCs w:val="16"/>
              </w:rPr>
              <w:t>Κριτήρια που δεν πληρούνταν</w:t>
            </w:r>
          </w:p>
        </w:tc>
        <w:tc>
          <w:tcPr>
            <w:tcW w:w="1190" w:type="pct"/>
            <w:shd w:val="clear" w:color="auto" w:fill="D9D9D9"/>
          </w:tcPr>
          <w:p w14:paraId="1855537E" w14:textId="77777777" w:rsidR="005C0158" w:rsidRPr="00486EC5" w:rsidRDefault="005C0158" w:rsidP="004003A3">
            <w:pPr>
              <w:snapToGrid w:val="0"/>
              <w:spacing w:before="120" w:after="0" w:line="240" w:lineRule="auto"/>
              <w:jc w:val="center"/>
              <w:rPr>
                <w:rFonts w:asciiTheme="minorHAnsi" w:hAnsiTheme="minorHAnsi" w:cs="Calibri"/>
                <w:b/>
                <w:sz w:val="16"/>
                <w:szCs w:val="16"/>
              </w:rPr>
            </w:pPr>
            <w:r w:rsidRPr="00486EC5">
              <w:rPr>
                <w:rFonts w:asciiTheme="minorHAnsi" w:hAnsiTheme="minorHAnsi" w:cs="Calibri"/>
                <w:b/>
                <w:sz w:val="16"/>
                <w:szCs w:val="16"/>
              </w:rPr>
              <w:t>Ανάληψη Δράσης</w:t>
            </w:r>
          </w:p>
        </w:tc>
        <w:tc>
          <w:tcPr>
            <w:tcW w:w="375" w:type="pct"/>
            <w:shd w:val="clear" w:color="auto" w:fill="D9D9D9"/>
          </w:tcPr>
          <w:p w14:paraId="1C70D49A" w14:textId="77777777" w:rsidR="005C0158" w:rsidRPr="00486EC5" w:rsidRDefault="005C0158" w:rsidP="004003A3">
            <w:pPr>
              <w:snapToGrid w:val="0"/>
              <w:spacing w:before="120" w:after="0" w:line="240" w:lineRule="auto"/>
              <w:jc w:val="center"/>
              <w:rPr>
                <w:rFonts w:asciiTheme="minorHAnsi" w:hAnsiTheme="minorHAnsi" w:cs="Calibri"/>
                <w:b/>
                <w:sz w:val="16"/>
                <w:szCs w:val="16"/>
              </w:rPr>
            </w:pPr>
            <w:r w:rsidRPr="00486EC5">
              <w:rPr>
                <w:rFonts w:asciiTheme="minorHAnsi" w:hAnsiTheme="minorHAnsi" w:cs="Calibri"/>
                <w:b/>
                <w:sz w:val="16"/>
                <w:szCs w:val="16"/>
              </w:rPr>
              <w:t>Προθεσμία</w:t>
            </w:r>
            <w:r w:rsidRPr="00486EC5">
              <w:rPr>
                <w:rFonts w:asciiTheme="minorHAnsi" w:hAnsiTheme="minorHAnsi" w:cs="Calibri"/>
                <w:b/>
                <w:sz w:val="16"/>
                <w:szCs w:val="16"/>
                <w:lang w:val="el-GR"/>
              </w:rPr>
              <w:t xml:space="preserve"> </w:t>
            </w:r>
            <w:r w:rsidRPr="00486EC5">
              <w:rPr>
                <w:rFonts w:asciiTheme="minorHAnsi" w:hAnsiTheme="minorHAnsi" w:cs="Calibri"/>
                <w:b/>
                <w:sz w:val="16"/>
                <w:szCs w:val="16"/>
              </w:rPr>
              <w:t>(αναμενόμενη ημερομηνία εκπλήρωσης)</w:t>
            </w:r>
          </w:p>
        </w:tc>
        <w:tc>
          <w:tcPr>
            <w:tcW w:w="423" w:type="pct"/>
            <w:shd w:val="clear" w:color="auto" w:fill="D9D9D9"/>
          </w:tcPr>
          <w:p w14:paraId="2F98EAE4" w14:textId="77777777" w:rsidR="005C0158" w:rsidRPr="00486EC5" w:rsidRDefault="005C0158" w:rsidP="004003A3">
            <w:pPr>
              <w:snapToGrid w:val="0"/>
              <w:spacing w:before="120" w:after="0" w:line="240" w:lineRule="auto"/>
              <w:jc w:val="center"/>
              <w:rPr>
                <w:rFonts w:asciiTheme="minorHAnsi" w:hAnsiTheme="minorHAnsi" w:cs="Calibri"/>
                <w:b/>
                <w:sz w:val="16"/>
                <w:szCs w:val="16"/>
              </w:rPr>
            </w:pPr>
            <w:r w:rsidRPr="00486EC5">
              <w:rPr>
                <w:rFonts w:asciiTheme="minorHAnsi" w:hAnsiTheme="minorHAnsi" w:cs="Calibri"/>
                <w:b/>
                <w:sz w:val="16"/>
                <w:szCs w:val="16"/>
              </w:rPr>
              <w:t>Αρμόδιοι Φορείς</w:t>
            </w:r>
          </w:p>
        </w:tc>
        <w:tc>
          <w:tcPr>
            <w:tcW w:w="349" w:type="pct"/>
            <w:shd w:val="clear" w:color="auto" w:fill="D9D9D9"/>
          </w:tcPr>
          <w:p w14:paraId="18780998" w14:textId="77777777" w:rsidR="005C0158" w:rsidRPr="00486EC5" w:rsidRDefault="005C0158" w:rsidP="004003A3">
            <w:pPr>
              <w:snapToGrid w:val="0"/>
              <w:spacing w:before="120" w:after="0" w:line="240" w:lineRule="auto"/>
              <w:jc w:val="center"/>
              <w:rPr>
                <w:rFonts w:asciiTheme="minorHAnsi" w:hAnsiTheme="minorHAnsi" w:cs="Calibri"/>
                <w:b/>
                <w:sz w:val="16"/>
                <w:szCs w:val="16"/>
                <w:lang w:val="el-GR"/>
              </w:rPr>
            </w:pPr>
            <w:r w:rsidRPr="00486EC5">
              <w:rPr>
                <w:rFonts w:asciiTheme="minorHAnsi" w:hAnsiTheme="minorHAnsi" w:cs="Calibri"/>
                <w:b/>
                <w:sz w:val="16"/>
                <w:szCs w:val="16"/>
                <w:lang w:val="el-GR"/>
              </w:rPr>
              <w:t>Ολοκλήρωση Μέτρου εντός προθεσμίας (Ν/Ο)</w:t>
            </w:r>
          </w:p>
        </w:tc>
        <w:tc>
          <w:tcPr>
            <w:tcW w:w="317" w:type="pct"/>
            <w:shd w:val="clear" w:color="auto" w:fill="D9D9D9"/>
          </w:tcPr>
          <w:p w14:paraId="5014BAC0" w14:textId="77777777" w:rsidR="005C0158" w:rsidRPr="00486EC5" w:rsidRDefault="005C0158" w:rsidP="004003A3">
            <w:pPr>
              <w:snapToGrid w:val="0"/>
              <w:spacing w:before="120" w:after="0" w:line="240" w:lineRule="auto"/>
              <w:jc w:val="center"/>
              <w:rPr>
                <w:rFonts w:asciiTheme="minorHAnsi" w:hAnsiTheme="minorHAnsi" w:cs="Calibri"/>
                <w:b/>
                <w:sz w:val="16"/>
                <w:szCs w:val="16"/>
                <w:lang w:val="el-GR"/>
              </w:rPr>
            </w:pPr>
            <w:r w:rsidRPr="00486EC5">
              <w:rPr>
                <w:rFonts w:asciiTheme="minorHAnsi" w:hAnsiTheme="minorHAnsi" w:cs="Calibri"/>
                <w:b/>
                <w:sz w:val="16"/>
                <w:szCs w:val="16"/>
                <w:lang w:val="el-GR"/>
              </w:rPr>
              <w:t>Εκπλήρωση Κριτηρίου (Ν/Ο)</w:t>
            </w:r>
          </w:p>
        </w:tc>
        <w:tc>
          <w:tcPr>
            <w:tcW w:w="358" w:type="pct"/>
            <w:shd w:val="clear" w:color="auto" w:fill="D9D9D9"/>
          </w:tcPr>
          <w:p w14:paraId="464D29DF" w14:textId="77777777" w:rsidR="005C0158" w:rsidRPr="00486EC5" w:rsidRDefault="005C0158" w:rsidP="004003A3">
            <w:pPr>
              <w:snapToGrid w:val="0"/>
              <w:spacing w:before="120" w:after="0" w:line="240" w:lineRule="auto"/>
              <w:jc w:val="center"/>
              <w:rPr>
                <w:rFonts w:asciiTheme="minorHAnsi" w:hAnsiTheme="minorHAnsi" w:cs="Calibri"/>
                <w:b/>
                <w:sz w:val="16"/>
                <w:szCs w:val="16"/>
                <w:lang w:val="el-GR"/>
              </w:rPr>
            </w:pPr>
            <w:r w:rsidRPr="00486EC5">
              <w:rPr>
                <w:rFonts w:asciiTheme="minorHAnsi" w:hAnsiTheme="minorHAnsi" w:cs="Calibri"/>
                <w:b/>
                <w:sz w:val="16"/>
                <w:szCs w:val="16"/>
                <w:lang w:val="el-GR"/>
              </w:rPr>
              <w:t>Αναμενόμενη ημερομηνία για πλήρη εφαρμογή των υπολοίπων μέτρων, κατά περίπτωση</w:t>
            </w:r>
          </w:p>
        </w:tc>
        <w:tc>
          <w:tcPr>
            <w:tcW w:w="792" w:type="pct"/>
            <w:shd w:val="clear" w:color="auto" w:fill="D9D9D9"/>
          </w:tcPr>
          <w:p w14:paraId="194C2CDA" w14:textId="77777777" w:rsidR="005C0158" w:rsidRPr="00486EC5" w:rsidRDefault="005C0158" w:rsidP="004003A3">
            <w:pPr>
              <w:snapToGrid w:val="0"/>
              <w:spacing w:before="120" w:after="0" w:line="240" w:lineRule="auto"/>
              <w:jc w:val="center"/>
              <w:rPr>
                <w:rFonts w:asciiTheme="minorHAnsi" w:hAnsiTheme="minorHAnsi" w:cs="Calibri"/>
                <w:b/>
                <w:sz w:val="16"/>
                <w:szCs w:val="16"/>
              </w:rPr>
            </w:pPr>
            <w:r w:rsidRPr="00486EC5">
              <w:rPr>
                <w:rFonts w:asciiTheme="minorHAnsi" w:hAnsiTheme="minorHAnsi" w:cs="Calibri"/>
                <w:b/>
                <w:sz w:val="16"/>
                <w:szCs w:val="16"/>
              </w:rPr>
              <w:t>Σχολιασμός</w:t>
            </w:r>
          </w:p>
          <w:p w14:paraId="1A615CB2" w14:textId="77777777" w:rsidR="005C0158" w:rsidRPr="00486EC5" w:rsidRDefault="005C0158" w:rsidP="004003A3">
            <w:pPr>
              <w:snapToGrid w:val="0"/>
              <w:spacing w:after="0" w:line="240" w:lineRule="auto"/>
              <w:jc w:val="center"/>
              <w:rPr>
                <w:rFonts w:asciiTheme="minorHAnsi" w:hAnsiTheme="minorHAnsi" w:cs="Calibri"/>
                <w:b/>
                <w:sz w:val="16"/>
                <w:szCs w:val="16"/>
              </w:rPr>
            </w:pPr>
            <w:r w:rsidRPr="00486EC5">
              <w:rPr>
                <w:rFonts w:asciiTheme="minorHAnsi" w:hAnsiTheme="minorHAnsi" w:cs="Calibri"/>
                <w:b/>
                <w:sz w:val="16"/>
                <w:szCs w:val="16"/>
              </w:rPr>
              <w:t>(για κάθε μέτρο)</w:t>
            </w:r>
          </w:p>
        </w:tc>
      </w:tr>
      <w:tr w:rsidR="005C0158" w:rsidRPr="00486EC5" w14:paraId="208907A6" w14:textId="77777777" w:rsidTr="004003A3">
        <w:trPr>
          <w:trHeight w:val="788"/>
          <w:jc w:val="center"/>
        </w:trPr>
        <w:tc>
          <w:tcPr>
            <w:tcW w:w="597" w:type="pct"/>
            <w:vMerge w:val="restart"/>
            <w:shd w:val="clear" w:color="auto" w:fill="auto"/>
          </w:tcPr>
          <w:p w14:paraId="0FF6E4F9"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b/>
                <w:i/>
                <w:sz w:val="16"/>
                <w:szCs w:val="16"/>
                <w:lang w:val="el-GR"/>
              </w:rPr>
              <w:t>1.1. Έρευνα και Καινοτομία</w:t>
            </w:r>
          </w:p>
          <w:p w14:paraId="0DBAD670" w14:textId="77777777" w:rsidR="005C0158" w:rsidRPr="00486EC5" w:rsidRDefault="005C0158" w:rsidP="004003A3">
            <w:pPr>
              <w:spacing w:before="120" w:after="0" w:line="240" w:lineRule="auto"/>
              <w:rPr>
                <w:rFonts w:asciiTheme="minorHAnsi" w:hAnsiTheme="minorHAnsi" w:cs="Calibri"/>
                <w:b/>
                <w:i/>
                <w:sz w:val="16"/>
                <w:szCs w:val="16"/>
                <w:lang w:val="el-GR"/>
              </w:rPr>
            </w:pPr>
            <w:r w:rsidRPr="00486EC5">
              <w:rPr>
                <w:rFonts w:asciiTheme="minorHAnsi" w:hAnsiTheme="minorHAnsi" w:cs="Calibri"/>
                <w:sz w:val="16"/>
                <w:szCs w:val="16"/>
                <w:lang w:val="el-GR"/>
              </w:rPr>
              <w:t>Η ύπαρξη εθνικής στρατηγικής έξυπνης εξειδίκευσης, σύμφωνα με το εθνικό πρόγραμμα μεταρρυθμίσεων, με στόχο τη μόχλευση ιδιωτικών δαπανών έρευνας και καινοτομίας, η οποία να συνάδει με τα χαρακτηριστικά αποδοτικών εθνικών ή περιφερειακών συστημάτων έρευνας και καινοτομίας.</w:t>
            </w:r>
          </w:p>
        </w:tc>
        <w:tc>
          <w:tcPr>
            <w:tcW w:w="599" w:type="pct"/>
          </w:tcPr>
          <w:p w14:paraId="53C14015"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1 - Έχει τεθεί σε εφαρμογή μια Εθνική Στρατηγική Έξυπνης εξειδίκευσης η οποία:</w:t>
            </w:r>
          </w:p>
        </w:tc>
        <w:tc>
          <w:tcPr>
            <w:tcW w:w="1190" w:type="pct"/>
          </w:tcPr>
          <w:p w14:paraId="37C444B7"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Έγκριση της Εθνικής Στρατηγικής Έξυπνης Εξειδίκευσης (</w:t>
            </w:r>
            <w:r w:rsidRPr="00486EC5">
              <w:rPr>
                <w:rFonts w:asciiTheme="minorHAnsi" w:hAnsiTheme="minorHAnsi" w:cs="Calibri"/>
                <w:sz w:val="16"/>
                <w:szCs w:val="16"/>
              </w:rPr>
              <w:t>S</w:t>
            </w:r>
            <w:r w:rsidRPr="00486EC5">
              <w:rPr>
                <w:rFonts w:asciiTheme="minorHAnsi" w:hAnsiTheme="minorHAnsi" w:cs="Calibri"/>
                <w:sz w:val="16"/>
                <w:szCs w:val="16"/>
                <w:lang w:val="el-GR"/>
              </w:rPr>
              <w:t>3</w:t>
            </w:r>
            <w:r w:rsidRPr="00486EC5">
              <w:rPr>
                <w:rFonts w:asciiTheme="minorHAnsi" w:hAnsiTheme="minorHAnsi" w:cs="Calibri"/>
                <w:sz w:val="16"/>
                <w:szCs w:val="16"/>
              </w:rPr>
              <w:t>Cy</w:t>
            </w:r>
            <w:r w:rsidRPr="00486EC5">
              <w:rPr>
                <w:rFonts w:asciiTheme="minorHAnsi" w:hAnsiTheme="minorHAnsi" w:cs="Calibri"/>
                <w:sz w:val="16"/>
                <w:szCs w:val="16"/>
                <w:lang w:val="el-GR"/>
              </w:rPr>
              <w:t>) από το Υπουργικό Συμβούλιο</w:t>
            </w:r>
          </w:p>
        </w:tc>
        <w:tc>
          <w:tcPr>
            <w:tcW w:w="375" w:type="pct"/>
          </w:tcPr>
          <w:p w14:paraId="7F8CE736"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31/03/2015</w:t>
            </w:r>
          </w:p>
        </w:tc>
        <w:tc>
          <w:tcPr>
            <w:tcW w:w="423" w:type="pct"/>
          </w:tcPr>
          <w:p w14:paraId="5B8EEE7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ΓΔ ΕΠΣΑ/ Υπουργικό Συμβούλιο</w:t>
            </w:r>
          </w:p>
        </w:tc>
        <w:tc>
          <w:tcPr>
            <w:tcW w:w="349" w:type="pct"/>
          </w:tcPr>
          <w:p w14:paraId="155E2737"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17" w:type="pct"/>
          </w:tcPr>
          <w:p w14:paraId="58132B5E"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72738C7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26/03/2015</w:t>
            </w:r>
          </w:p>
        </w:tc>
        <w:tc>
          <w:tcPr>
            <w:tcW w:w="792" w:type="pct"/>
          </w:tcPr>
          <w:p w14:paraId="55DF95FA"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της Εθνικής Στρατηγικής Έξυπνης Εξειδίκευσης (</w:t>
            </w:r>
            <w:r w:rsidRPr="00486EC5">
              <w:rPr>
                <w:rFonts w:asciiTheme="minorHAnsi" w:hAnsiTheme="minorHAnsi" w:cs="Calibri"/>
                <w:sz w:val="16"/>
                <w:szCs w:val="16"/>
              </w:rPr>
              <w:t>S</w:t>
            </w:r>
            <w:r w:rsidRPr="00486EC5">
              <w:rPr>
                <w:rFonts w:asciiTheme="minorHAnsi" w:hAnsiTheme="minorHAnsi" w:cs="Calibri"/>
                <w:sz w:val="16"/>
                <w:szCs w:val="16"/>
                <w:lang w:val="el-GR"/>
              </w:rPr>
              <w:t>3</w:t>
            </w:r>
            <w:r w:rsidRPr="00486EC5">
              <w:rPr>
                <w:rFonts w:asciiTheme="minorHAnsi" w:hAnsiTheme="minorHAnsi" w:cs="Calibri"/>
                <w:sz w:val="16"/>
                <w:szCs w:val="16"/>
              </w:rPr>
              <w:t>Cy</w:t>
            </w:r>
            <w:r w:rsidRPr="00486EC5">
              <w:rPr>
                <w:rFonts w:asciiTheme="minorHAnsi" w:hAnsiTheme="minorHAnsi" w:cs="Calibri"/>
                <w:sz w:val="16"/>
                <w:szCs w:val="16"/>
                <w:lang w:val="el-GR"/>
              </w:rPr>
              <w:t>) από το Υπουργικό Συμβούλιο στις 26/03/15.</w:t>
            </w:r>
          </w:p>
          <w:p w14:paraId="7D898A3B"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23/7/15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(2015)3098535).</w:t>
            </w:r>
          </w:p>
        </w:tc>
      </w:tr>
      <w:tr w:rsidR="005C0158" w:rsidRPr="00486EC5" w14:paraId="42D9562D" w14:textId="77777777" w:rsidTr="004003A3">
        <w:trPr>
          <w:trHeight w:val="761"/>
          <w:jc w:val="center"/>
        </w:trPr>
        <w:tc>
          <w:tcPr>
            <w:tcW w:w="597" w:type="pct"/>
            <w:vMerge/>
            <w:shd w:val="clear" w:color="auto" w:fill="auto"/>
          </w:tcPr>
          <w:p w14:paraId="43F73BDA"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vMerge w:val="restart"/>
          </w:tcPr>
          <w:p w14:paraId="7EBFFE25"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2 - βασίζεται σε μία </w:t>
            </w:r>
            <w:r w:rsidRPr="00486EC5">
              <w:rPr>
                <w:rFonts w:asciiTheme="minorHAnsi" w:hAnsiTheme="minorHAnsi" w:cs="Calibri"/>
                <w:sz w:val="16"/>
                <w:szCs w:val="16"/>
              </w:rPr>
              <w:t>SWOT</w:t>
            </w:r>
            <w:r w:rsidRPr="00486EC5">
              <w:rPr>
                <w:rFonts w:asciiTheme="minorHAnsi" w:hAnsiTheme="minorHAnsi" w:cs="Calibri"/>
                <w:sz w:val="16"/>
                <w:szCs w:val="16"/>
                <w:lang w:val="el-GR"/>
              </w:rPr>
              <w:t xml:space="preserve"> ή παρόμοια ανάλυση για τη συγκέντρωση των πόρων σε ένα περιορισμένο σύνολο προτεραιοτήτων έρευνας και καινοτομίας;</w:t>
            </w:r>
          </w:p>
        </w:tc>
        <w:tc>
          <w:tcPr>
            <w:tcW w:w="1190" w:type="pct"/>
          </w:tcPr>
          <w:p w14:paraId="2685DD7C"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Ετοιμασία και έγκριση της </w:t>
            </w:r>
            <w:r w:rsidRPr="00486EC5">
              <w:rPr>
                <w:rFonts w:asciiTheme="minorHAnsi" w:hAnsiTheme="minorHAnsi" w:cs="Calibri"/>
                <w:sz w:val="16"/>
                <w:szCs w:val="16"/>
                <w:lang w:val="en-GB"/>
              </w:rPr>
              <w:t>SWOT</w:t>
            </w:r>
            <w:r w:rsidRPr="00486EC5">
              <w:rPr>
                <w:rFonts w:asciiTheme="minorHAnsi" w:hAnsiTheme="minorHAnsi" w:cs="Calibri"/>
                <w:sz w:val="16"/>
                <w:szCs w:val="16"/>
                <w:lang w:val="el-GR"/>
              </w:rPr>
              <w:t xml:space="preserve"> </w:t>
            </w:r>
            <w:r w:rsidRPr="00486EC5">
              <w:rPr>
                <w:rFonts w:asciiTheme="minorHAnsi" w:hAnsiTheme="minorHAnsi" w:cs="Calibri"/>
                <w:sz w:val="16"/>
                <w:szCs w:val="16"/>
                <w:lang w:val="en-GB"/>
              </w:rPr>
              <w:t>analysis</w:t>
            </w:r>
            <w:r w:rsidRPr="00486EC5">
              <w:rPr>
                <w:rFonts w:asciiTheme="minorHAnsi" w:hAnsiTheme="minorHAnsi" w:cs="Calibri"/>
                <w:sz w:val="16"/>
                <w:szCs w:val="16"/>
                <w:lang w:val="el-GR"/>
              </w:rPr>
              <w:t xml:space="preserve"> ως μέρος της Εθνικής Στρατηγικής από την Επιτροπή Διακυβέρνησης (βλέπε Πίνακα 1 για επεξήγηση της  μεθοδολογίας/ διαδικασίας) (Νοέμβριος 2014) </w:t>
            </w:r>
          </w:p>
        </w:tc>
        <w:tc>
          <w:tcPr>
            <w:tcW w:w="375" w:type="pct"/>
          </w:tcPr>
          <w:p w14:paraId="788EA440"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30/11/2014</w:t>
            </w:r>
          </w:p>
        </w:tc>
        <w:tc>
          <w:tcPr>
            <w:tcW w:w="423" w:type="pct"/>
            <w:vMerge w:val="restart"/>
          </w:tcPr>
          <w:p w14:paraId="13403306"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ΓΔ ΕΠΣΑ/ Επιτροπή Διακυβέρνησης/ Υπουργικό Συμβούλιο</w:t>
            </w:r>
          </w:p>
        </w:tc>
        <w:tc>
          <w:tcPr>
            <w:tcW w:w="349" w:type="pct"/>
            <w:vMerge w:val="restart"/>
          </w:tcPr>
          <w:p w14:paraId="20F225C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NAI</w:t>
            </w:r>
          </w:p>
        </w:tc>
        <w:tc>
          <w:tcPr>
            <w:tcW w:w="317" w:type="pct"/>
            <w:vMerge w:val="restart"/>
          </w:tcPr>
          <w:p w14:paraId="049F15EA"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66185958"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17/11/2014</w:t>
            </w:r>
          </w:p>
        </w:tc>
        <w:tc>
          <w:tcPr>
            <w:tcW w:w="792" w:type="pct"/>
            <w:vMerge w:val="restart"/>
          </w:tcPr>
          <w:p w14:paraId="4F286CAB"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της Εθνικής Στρατηγικής Έξυπνης Εξειδίκευσης (</w:t>
            </w:r>
            <w:r w:rsidRPr="00486EC5">
              <w:rPr>
                <w:rFonts w:asciiTheme="minorHAnsi" w:hAnsiTheme="minorHAnsi" w:cs="Calibri"/>
                <w:sz w:val="16"/>
                <w:szCs w:val="16"/>
              </w:rPr>
              <w:t>S</w:t>
            </w:r>
            <w:r w:rsidRPr="00486EC5">
              <w:rPr>
                <w:rFonts w:asciiTheme="minorHAnsi" w:hAnsiTheme="minorHAnsi" w:cs="Calibri"/>
                <w:sz w:val="16"/>
                <w:szCs w:val="16"/>
                <w:lang w:val="el-GR"/>
              </w:rPr>
              <w:t>3</w:t>
            </w:r>
            <w:r w:rsidRPr="00486EC5">
              <w:rPr>
                <w:rFonts w:asciiTheme="minorHAnsi" w:hAnsiTheme="minorHAnsi" w:cs="Calibri"/>
                <w:sz w:val="16"/>
                <w:szCs w:val="16"/>
              </w:rPr>
              <w:t>Cy</w:t>
            </w:r>
            <w:r w:rsidRPr="00486EC5">
              <w:rPr>
                <w:rFonts w:asciiTheme="minorHAnsi" w:hAnsiTheme="minorHAnsi" w:cs="Calibri"/>
                <w:sz w:val="16"/>
                <w:szCs w:val="16"/>
                <w:lang w:val="el-GR"/>
              </w:rPr>
              <w:t>) από το Υπουργικό Συμβούλιο στις 26/3/15.</w:t>
            </w:r>
          </w:p>
          <w:p w14:paraId="5CDDC4F2"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23/7/15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(2015)3098535).</w:t>
            </w:r>
          </w:p>
        </w:tc>
      </w:tr>
      <w:tr w:rsidR="005C0158" w:rsidRPr="00486EC5" w14:paraId="15E52963" w14:textId="77777777" w:rsidTr="004003A3">
        <w:trPr>
          <w:trHeight w:val="761"/>
          <w:jc w:val="center"/>
        </w:trPr>
        <w:tc>
          <w:tcPr>
            <w:tcW w:w="597" w:type="pct"/>
            <w:vMerge/>
            <w:shd w:val="clear" w:color="auto" w:fill="auto"/>
          </w:tcPr>
          <w:p w14:paraId="26CBC328"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vMerge/>
          </w:tcPr>
          <w:p w14:paraId="720AA1F5"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p>
        </w:tc>
        <w:tc>
          <w:tcPr>
            <w:tcW w:w="1190" w:type="pct"/>
          </w:tcPr>
          <w:p w14:paraId="1CF41856"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Έγκριση της </w:t>
            </w:r>
            <w:r w:rsidRPr="00486EC5">
              <w:rPr>
                <w:rFonts w:asciiTheme="minorHAnsi" w:hAnsiTheme="minorHAnsi" w:cs="Calibri"/>
                <w:sz w:val="16"/>
                <w:szCs w:val="16"/>
                <w:lang w:val="en-GB"/>
              </w:rPr>
              <w:t>SWOT</w:t>
            </w:r>
            <w:r w:rsidRPr="00486EC5">
              <w:rPr>
                <w:rFonts w:asciiTheme="minorHAnsi" w:hAnsiTheme="minorHAnsi" w:cs="Calibri"/>
                <w:sz w:val="16"/>
                <w:szCs w:val="16"/>
                <w:lang w:val="el-GR"/>
              </w:rPr>
              <w:t xml:space="preserve"> </w:t>
            </w:r>
            <w:r w:rsidRPr="00486EC5">
              <w:rPr>
                <w:rFonts w:asciiTheme="minorHAnsi" w:hAnsiTheme="minorHAnsi" w:cs="Calibri"/>
                <w:sz w:val="16"/>
                <w:szCs w:val="16"/>
                <w:lang w:val="en-GB"/>
              </w:rPr>
              <w:t>analysis</w:t>
            </w:r>
            <w:r w:rsidRPr="00486EC5">
              <w:rPr>
                <w:rFonts w:asciiTheme="minorHAnsi" w:hAnsiTheme="minorHAnsi" w:cs="Calibri"/>
                <w:sz w:val="16"/>
                <w:szCs w:val="16"/>
                <w:lang w:val="el-GR"/>
              </w:rPr>
              <w:t xml:space="preserve"> στα πλαίσια έγκρισης της </w:t>
            </w:r>
            <w:r w:rsidRPr="00486EC5">
              <w:rPr>
                <w:rFonts w:asciiTheme="minorHAnsi" w:hAnsiTheme="minorHAnsi" w:cs="Calibri"/>
                <w:sz w:val="16"/>
                <w:szCs w:val="16"/>
              </w:rPr>
              <w:t>S</w:t>
            </w:r>
            <w:r w:rsidRPr="00486EC5">
              <w:rPr>
                <w:rFonts w:asciiTheme="minorHAnsi" w:hAnsiTheme="minorHAnsi" w:cs="Calibri"/>
                <w:sz w:val="16"/>
                <w:szCs w:val="16"/>
                <w:lang w:val="el-GR"/>
              </w:rPr>
              <w:t>3</w:t>
            </w:r>
            <w:r w:rsidRPr="00486EC5">
              <w:rPr>
                <w:rFonts w:asciiTheme="minorHAnsi" w:hAnsiTheme="minorHAnsi" w:cs="Calibri"/>
                <w:sz w:val="16"/>
                <w:szCs w:val="16"/>
              </w:rPr>
              <w:t>Cy</w:t>
            </w:r>
            <w:r w:rsidRPr="00486EC5">
              <w:rPr>
                <w:rFonts w:asciiTheme="minorHAnsi" w:hAnsiTheme="minorHAnsi" w:cs="Calibri"/>
                <w:sz w:val="16"/>
                <w:szCs w:val="16"/>
                <w:lang w:val="el-GR"/>
              </w:rPr>
              <w:t xml:space="preserve"> από το Υπουργικό Συμβούλιο</w:t>
            </w:r>
          </w:p>
        </w:tc>
        <w:tc>
          <w:tcPr>
            <w:tcW w:w="375" w:type="pct"/>
          </w:tcPr>
          <w:p w14:paraId="5B56571C"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rPr>
              <w:t>31/03/2015</w:t>
            </w:r>
          </w:p>
        </w:tc>
        <w:tc>
          <w:tcPr>
            <w:tcW w:w="423" w:type="pct"/>
            <w:vMerge/>
          </w:tcPr>
          <w:p w14:paraId="1A58AC09"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p>
        </w:tc>
        <w:tc>
          <w:tcPr>
            <w:tcW w:w="349" w:type="pct"/>
            <w:vMerge/>
          </w:tcPr>
          <w:p w14:paraId="56CC8719"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p>
        </w:tc>
        <w:tc>
          <w:tcPr>
            <w:tcW w:w="317" w:type="pct"/>
            <w:vMerge/>
          </w:tcPr>
          <w:p w14:paraId="7F679BE6"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p>
        </w:tc>
        <w:tc>
          <w:tcPr>
            <w:tcW w:w="358" w:type="pct"/>
          </w:tcPr>
          <w:p w14:paraId="44D4D43E"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rPr>
              <w:t>26/03/2015</w:t>
            </w:r>
          </w:p>
        </w:tc>
        <w:tc>
          <w:tcPr>
            <w:tcW w:w="792" w:type="pct"/>
            <w:vMerge/>
          </w:tcPr>
          <w:p w14:paraId="33DF3AF2"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p>
        </w:tc>
      </w:tr>
      <w:tr w:rsidR="005C0158" w:rsidRPr="00486EC5" w14:paraId="00E0E751" w14:textId="77777777" w:rsidTr="004003A3">
        <w:trPr>
          <w:trHeight w:val="1513"/>
          <w:jc w:val="center"/>
        </w:trPr>
        <w:tc>
          <w:tcPr>
            <w:tcW w:w="597" w:type="pct"/>
            <w:vMerge/>
            <w:shd w:val="clear" w:color="auto" w:fill="auto"/>
          </w:tcPr>
          <w:p w14:paraId="13717BC8"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vMerge w:val="restart"/>
          </w:tcPr>
          <w:p w14:paraId="03A65FB5"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3 - περιγράφει μέτρα για την ενθάρρυνση ιδιωτικών επενδύσεων σε Ε&amp;ΤΑ;</w:t>
            </w:r>
          </w:p>
          <w:p w14:paraId="20B25123"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p>
        </w:tc>
        <w:tc>
          <w:tcPr>
            <w:tcW w:w="1190" w:type="pct"/>
          </w:tcPr>
          <w:p w14:paraId="73DF6FE6"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Ολοκλήρωση του προσχεδίου Σχεδίου Δράσης/ Πλαισίου Μέτρων για την υλοποίηση της Στρατηγικής Έξυπνης Εξειδίκευσης. Η φιλοσοφία του προτεινόμενου Πλαισίου θα στοχεύει, μεταξύ άλλων, στην ενθάρρυνση ιδιωτικών επενδύσεων για Ε&amp;ΤΑ (βλέπε Πίνακα 24 για επεξήγηση του περιεχομένου/ μεθοδολογίας κατάρτισης του)</w:t>
            </w:r>
          </w:p>
        </w:tc>
        <w:tc>
          <w:tcPr>
            <w:tcW w:w="375" w:type="pct"/>
          </w:tcPr>
          <w:p w14:paraId="5DD4AFA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31/08/2014</w:t>
            </w:r>
          </w:p>
        </w:tc>
        <w:tc>
          <w:tcPr>
            <w:tcW w:w="423" w:type="pct"/>
            <w:vMerge w:val="restart"/>
          </w:tcPr>
          <w:p w14:paraId="4362B50A"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ΓΔ ΕΠΣΑ/ Επιτροπή Διακυβέρνησης/ Υπουργικό Συμβούλιο</w:t>
            </w:r>
          </w:p>
        </w:tc>
        <w:tc>
          <w:tcPr>
            <w:tcW w:w="349" w:type="pct"/>
            <w:vMerge w:val="restart"/>
          </w:tcPr>
          <w:p w14:paraId="3CC81CA5"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NAI</w:t>
            </w:r>
          </w:p>
        </w:tc>
        <w:tc>
          <w:tcPr>
            <w:tcW w:w="317" w:type="pct"/>
            <w:vMerge w:val="restart"/>
          </w:tcPr>
          <w:p w14:paraId="63FFC1E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NAI</w:t>
            </w:r>
          </w:p>
        </w:tc>
        <w:tc>
          <w:tcPr>
            <w:tcW w:w="358" w:type="pct"/>
          </w:tcPr>
          <w:p w14:paraId="65BDA9B4"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30/06/2014</w:t>
            </w:r>
          </w:p>
        </w:tc>
        <w:tc>
          <w:tcPr>
            <w:tcW w:w="792" w:type="pct"/>
            <w:vMerge w:val="restart"/>
          </w:tcPr>
          <w:p w14:paraId="38245DD8"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της Εθνικής Στρατηγικής Έξυπνης Εξειδίκευσης (</w:t>
            </w:r>
            <w:r w:rsidRPr="00486EC5">
              <w:rPr>
                <w:rFonts w:asciiTheme="minorHAnsi" w:hAnsiTheme="minorHAnsi" w:cs="Calibri"/>
                <w:sz w:val="16"/>
                <w:szCs w:val="16"/>
              </w:rPr>
              <w:t>S</w:t>
            </w:r>
            <w:r w:rsidRPr="00486EC5">
              <w:rPr>
                <w:rFonts w:asciiTheme="minorHAnsi" w:hAnsiTheme="minorHAnsi" w:cs="Calibri"/>
                <w:sz w:val="16"/>
                <w:szCs w:val="16"/>
                <w:lang w:val="el-GR"/>
              </w:rPr>
              <w:t>3</w:t>
            </w:r>
            <w:r w:rsidRPr="00486EC5">
              <w:rPr>
                <w:rFonts w:asciiTheme="minorHAnsi" w:hAnsiTheme="minorHAnsi" w:cs="Calibri"/>
                <w:sz w:val="16"/>
                <w:szCs w:val="16"/>
              </w:rPr>
              <w:t>Cy</w:t>
            </w:r>
            <w:r w:rsidRPr="00486EC5">
              <w:rPr>
                <w:rFonts w:asciiTheme="minorHAnsi" w:hAnsiTheme="minorHAnsi" w:cs="Calibri"/>
                <w:sz w:val="16"/>
                <w:szCs w:val="16"/>
                <w:lang w:val="el-GR"/>
              </w:rPr>
              <w:t>) από το Υπουργικό Συμβούλιο στις 26/3/15.</w:t>
            </w:r>
          </w:p>
          <w:p w14:paraId="6631002F"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23/7/15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(2015)3098535).</w:t>
            </w:r>
          </w:p>
        </w:tc>
      </w:tr>
      <w:tr w:rsidR="005C0158" w:rsidRPr="00486EC5" w14:paraId="25E4C652" w14:textId="77777777" w:rsidTr="004003A3">
        <w:trPr>
          <w:trHeight w:val="496"/>
          <w:jc w:val="center"/>
        </w:trPr>
        <w:tc>
          <w:tcPr>
            <w:tcW w:w="597" w:type="pct"/>
            <w:vMerge/>
            <w:shd w:val="clear" w:color="auto" w:fill="auto"/>
          </w:tcPr>
          <w:p w14:paraId="4F16B28A"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vMerge/>
          </w:tcPr>
          <w:p w14:paraId="34CC471B"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p>
        </w:tc>
        <w:tc>
          <w:tcPr>
            <w:tcW w:w="1190" w:type="pct"/>
          </w:tcPr>
          <w:p w14:paraId="1BD09620"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Υιοθέτηση  του Σχεδίου Δράσης/Πλαισίου Μέτρων της  </w:t>
            </w:r>
            <w:r w:rsidRPr="00486EC5">
              <w:rPr>
                <w:rFonts w:asciiTheme="minorHAnsi" w:hAnsiTheme="minorHAnsi" w:cs="Calibri"/>
                <w:sz w:val="16"/>
                <w:szCs w:val="16"/>
                <w:lang w:val="en-GB"/>
              </w:rPr>
              <w:t>S</w:t>
            </w:r>
            <w:r w:rsidRPr="00486EC5">
              <w:rPr>
                <w:rFonts w:asciiTheme="minorHAnsi" w:hAnsiTheme="minorHAnsi" w:cs="Calibri"/>
                <w:sz w:val="16"/>
                <w:szCs w:val="16"/>
                <w:lang w:val="el-GR"/>
              </w:rPr>
              <w:t>3</w:t>
            </w:r>
            <w:r w:rsidRPr="00486EC5">
              <w:rPr>
                <w:rFonts w:asciiTheme="minorHAnsi" w:hAnsiTheme="minorHAnsi" w:cs="Calibri"/>
                <w:sz w:val="16"/>
                <w:szCs w:val="16"/>
                <w:lang w:val="en-GB"/>
              </w:rPr>
              <w:t>Cy</w:t>
            </w:r>
            <w:r w:rsidRPr="00486EC5">
              <w:rPr>
                <w:rFonts w:asciiTheme="minorHAnsi" w:hAnsiTheme="minorHAnsi" w:cs="Calibri"/>
                <w:sz w:val="16"/>
                <w:szCs w:val="16"/>
                <w:lang w:val="el-GR"/>
              </w:rPr>
              <w:t xml:space="preserve"> από την Επιτροπή Διακυβέρνησης</w:t>
            </w:r>
          </w:p>
        </w:tc>
        <w:tc>
          <w:tcPr>
            <w:tcW w:w="375" w:type="pct"/>
          </w:tcPr>
          <w:p w14:paraId="2C1C0FC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30/11/2014</w:t>
            </w:r>
          </w:p>
        </w:tc>
        <w:tc>
          <w:tcPr>
            <w:tcW w:w="423" w:type="pct"/>
            <w:vMerge/>
          </w:tcPr>
          <w:p w14:paraId="4B955FEA"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tcPr>
          <w:p w14:paraId="3C8D771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tcPr>
          <w:p w14:paraId="1A1D7F9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tcPr>
          <w:p w14:paraId="78B4E1CD"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17/11/2014</w:t>
            </w:r>
          </w:p>
        </w:tc>
        <w:tc>
          <w:tcPr>
            <w:tcW w:w="792" w:type="pct"/>
            <w:vMerge/>
          </w:tcPr>
          <w:p w14:paraId="4E4771C7" w14:textId="77777777" w:rsidR="005C0158" w:rsidRPr="00486EC5" w:rsidRDefault="005C0158" w:rsidP="004003A3">
            <w:pPr>
              <w:snapToGrid w:val="0"/>
              <w:spacing w:before="120" w:after="0" w:line="240" w:lineRule="auto"/>
              <w:rPr>
                <w:rFonts w:asciiTheme="minorHAnsi" w:hAnsiTheme="minorHAnsi" w:cs="Calibri"/>
                <w:sz w:val="16"/>
                <w:szCs w:val="16"/>
              </w:rPr>
            </w:pPr>
          </w:p>
        </w:tc>
      </w:tr>
      <w:tr w:rsidR="005C0158" w:rsidRPr="00486EC5" w14:paraId="30ABB104" w14:textId="77777777" w:rsidTr="004003A3">
        <w:trPr>
          <w:trHeight w:val="631"/>
          <w:jc w:val="center"/>
        </w:trPr>
        <w:tc>
          <w:tcPr>
            <w:tcW w:w="597" w:type="pct"/>
            <w:vMerge/>
            <w:shd w:val="clear" w:color="auto" w:fill="auto"/>
          </w:tcPr>
          <w:p w14:paraId="54990843" w14:textId="77777777" w:rsidR="005C0158" w:rsidRPr="00486EC5" w:rsidRDefault="005C0158" w:rsidP="004003A3">
            <w:pPr>
              <w:spacing w:before="120" w:after="0" w:line="240" w:lineRule="auto"/>
              <w:rPr>
                <w:rFonts w:asciiTheme="minorHAnsi" w:hAnsiTheme="minorHAnsi" w:cs="Calibri"/>
                <w:b/>
                <w:i/>
                <w:sz w:val="16"/>
                <w:szCs w:val="16"/>
              </w:rPr>
            </w:pPr>
          </w:p>
        </w:tc>
        <w:tc>
          <w:tcPr>
            <w:tcW w:w="599" w:type="pct"/>
            <w:vMerge/>
          </w:tcPr>
          <w:p w14:paraId="0DDECF54" w14:textId="77777777" w:rsidR="005C0158" w:rsidRPr="00486EC5" w:rsidRDefault="005C0158" w:rsidP="004003A3">
            <w:pPr>
              <w:snapToGrid w:val="0"/>
              <w:spacing w:before="120" w:after="0" w:line="240" w:lineRule="auto"/>
              <w:rPr>
                <w:rFonts w:asciiTheme="minorHAnsi" w:hAnsiTheme="minorHAnsi" w:cs="Calibri"/>
                <w:sz w:val="16"/>
                <w:szCs w:val="16"/>
              </w:rPr>
            </w:pPr>
          </w:p>
        </w:tc>
        <w:tc>
          <w:tcPr>
            <w:tcW w:w="1190" w:type="pct"/>
          </w:tcPr>
          <w:p w14:paraId="37C48CF4"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Έγκριση Σχεδίου Δράσης/Πλαισίου Μέτρων στα πλαίσια έγκρισης της </w:t>
            </w:r>
            <w:r w:rsidRPr="00486EC5">
              <w:rPr>
                <w:rFonts w:asciiTheme="minorHAnsi" w:hAnsiTheme="minorHAnsi" w:cs="Calibri"/>
                <w:sz w:val="16"/>
                <w:szCs w:val="16"/>
                <w:lang w:val="en-GB"/>
              </w:rPr>
              <w:t>S</w:t>
            </w:r>
            <w:r w:rsidRPr="00486EC5">
              <w:rPr>
                <w:rFonts w:asciiTheme="minorHAnsi" w:hAnsiTheme="minorHAnsi" w:cs="Calibri"/>
                <w:sz w:val="16"/>
                <w:szCs w:val="16"/>
                <w:lang w:val="el-GR"/>
              </w:rPr>
              <w:t>3</w:t>
            </w:r>
            <w:r w:rsidRPr="00486EC5">
              <w:rPr>
                <w:rFonts w:asciiTheme="minorHAnsi" w:hAnsiTheme="minorHAnsi" w:cs="Calibri"/>
                <w:sz w:val="16"/>
                <w:szCs w:val="16"/>
                <w:lang w:val="en-GB"/>
              </w:rPr>
              <w:t>Cy</w:t>
            </w:r>
            <w:r w:rsidRPr="00486EC5">
              <w:rPr>
                <w:rFonts w:asciiTheme="minorHAnsi" w:hAnsiTheme="minorHAnsi" w:cs="Calibri"/>
                <w:sz w:val="16"/>
                <w:szCs w:val="16"/>
                <w:lang w:val="el-GR"/>
              </w:rPr>
              <w:t xml:space="preserve"> από το Υπουργικό Συμβούλιο</w:t>
            </w:r>
          </w:p>
        </w:tc>
        <w:tc>
          <w:tcPr>
            <w:tcW w:w="375" w:type="pct"/>
          </w:tcPr>
          <w:p w14:paraId="0A603267"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31/03/2015</w:t>
            </w:r>
          </w:p>
        </w:tc>
        <w:tc>
          <w:tcPr>
            <w:tcW w:w="423" w:type="pct"/>
            <w:vMerge/>
          </w:tcPr>
          <w:p w14:paraId="277A5104"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tcPr>
          <w:p w14:paraId="1A82D7C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tcPr>
          <w:p w14:paraId="289BBDAA"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tcPr>
          <w:p w14:paraId="79C7DF3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26/03/2015</w:t>
            </w:r>
          </w:p>
        </w:tc>
        <w:tc>
          <w:tcPr>
            <w:tcW w:w="792" w:type="pct"/>
            <w:vMerge/>
          </w:tcPr>
          <w:p w14:paraId="03CB7DF4" w14:textId="77777777" w:rsidR="005C0158" w:rsidRPr="00486EC5" w:rsidRDefault="005C0158" w:rsidP="004003A3">
            <w:pPr>
              <w:snapToGrid w:val="0"/>
              <w:spacing w:before="120" w:after="0" w:line="240" w:lineRule="auto"/>
              <w:rPr>
                <w:rFonts w:asciiTheme="minorHAnsi" w:hAnsiTheme="minorHAnsi" w:cs="Calibri"/>
                <w:sz w:val="16"/>
                <w:szCs w:val="16"/>
              </w:rPr>
            </w:pPr>
          </w:p>
        </w:tc>
      </w:tr>
      <w:tr w:rsidR="005C0158" w:rsidRPr="00486EC5" w14:paraId="41D08E8E" w14:textId="77777777" w:rsidTr="004003A3">
        <w:trPr>
          <w:trHeight w:val="423"/>
          <w:jc w:val="center"/>
        </w:trPr>
        <w:tc>
          <w:tcPr>
            <w:tcW w:w="597" w:type="pct"/>
            <w:vMerge/>
            <w:shd w:val="clear" w:color="auto" w:fill="auto"/>
          </w:tcPr>
          <w:p w14:paraId="45B2A2D8" w14:textId="77777777" w:rsidR="005C0158" w:rsidRPr="00486EC5" w:rsidRDefault="005C0158" w:rsidP="004003A3">
            <w:pPr>
              <w:spacing w:before="120" w:after="0" w:line="240" w:lineRule="auto"/>
              <w:rPr>
                <w:rFonts w:asciiTheme="minorHAnsi" w:hAnsiTheme="minorHAnsi" w:cs="Calibri"/>
                <w:b/>
                <w:i/>
                <w:sz w:val="16"/>
                <w:szCs w:val="16"/>
              </w:rPr>
            </w:pPr>
          </w:p>
        </w:tc>
        <w:tc>
          <w:tcPr>
            <w:tcW w:w="599" w:type="pct"/>
            <w:vMerge w:val="restart"/>
          </w:tcPr>
          <w:p w14:paraId="711E21BE" w14:textId="77777777" w:rsidR="005C0158" w:rsidRPr="00486EC5" w:rsidRDefault="005C0158" w:rsidP="004003A3">
            <w:pPr>
              <w:snapToGrid w:val="0"/>
              <w:spacing w:before="120" w:after="0" w:line="240" w:lineRule="auto"/>
              <w:rPr>
                <w:rFonts w:asciiTheme="minorHAnsi" w:hAnsiTheme="minorHAnsi" w:cs="Calibri"/>
                <w:sz w:val="16"/>
                <w:szCs w:val="16"/>
              </w:rPr>
            </w:pPr>
            <w:r w:rsidRPr="00486EC5">
              <w:rPr>
                <w:rFonts w:asciiTheme="minorHAnsi" w:hAnsiTheme="minorHAnsi" w:cs="Calibri"/>
                <w:sz w:val="16"/>
                <w:szCs w:val="16"/>
              </w:rPr>
              <w:t>4 - περιέχει μηχανισμό παρακολούθησης.</w:t>
            </w:r>
          </w:p>
        </w:tc>
        <w:tc>
          <w:tcPr>
            <w:tcW w:w="1190" w:type="pct"/>
          </w:tcPr>
          <w:p w14:paraId="2C0157BB" w14:textId="77777777" w:rsidR="005C0158" w:rsidRPr="00486EC5" w:rsidRDefault="005C0158" w:rsidP="004003A3">
            <w:pPr>
              <w:snapToGrid w:val="0"/>
              <w:spacing w:before="120" w:after="0" w:line="240" w:lineRule="auto"/>
              <w:rPr>
                <w:rFonts w:asciiTheme="minorHAnsi" w:hAnsiTheme="minorHAnsi" w:cs="Calibri"/>
                <w:sz w:val="16"/>
                <w:szCs w:val="16"/>
              </w:rPr>
            </w:pPr>
            <w:r w:rsidRPr="00486EC5">
              <w:rPr>
                <w:rFonts w:asciiTheme="minorHAnsi" w:hAnsiTheme="minorHAnsi" w:cs="Calibri"/>
                <w:sz w:val="16"/>
                <w:szCs w:val="16"/>
                <w:lang w:val="el-GR"/>
              </w:rPr>
              <w:t xml:space="preserve">Η </w:t>
            </w:r>
            <w:r w:rsidRPr="00486EC5">
              <w:rPr>
                <w:rFonts w:asciiTheme="minorHAnsi" w:hAnsiTheme="minorHAnsi" w:cs="Calibri"/>
                <w:sz w:val="16"/>
                <w:szCs w:val="16"/>
                <w:lang w:val="en-GB"/>
              </w:rPr>
              <w:t>S</w:t>
            </w:r>
            <w:r w:rsidRPr="00486EC5">
              <w:rPr>
                <w:rFonts w:asciiTheme="minorHAnsi" w:hAnsiTheme="minorHAnsi" w:cs="Calibri"/>
                <w:sz w:val="16"/>
                <w:szCs w:val="16"/>
                <w:lang w:val="el-GR"/>
              </w:rPr>
              <w:t>3</w:t>
            </w:r>
            <w:r w:rsidRPr="00486EC5">
              <w:rPr>
                <w:rFonts w:asciiTheme="minorHAnsi" w:hAnsiTheme="minorHAnsi" w:cs="Calibri"/>
                <w:sz w:val="16"/>
                <w:szCs w:val="16"/>
                <w:lang w:val="en-GB"/>
              </w:rPr>
              <w:t>Cy</w:t>
            </w:r>
            <w:r w:rsidRPr="00486EC5">
              <w:rPr>
                <w:rFonts w:asciiTheme="minorHAnsi" w:hAnsiTheme="minorHAnsi" w:cs="Calibri"/>
                <w:sz w:val="16"/>
                <w:szCs w:val="16"/>
                <w:lang w:val="el-GR"/>
              </w:rPr>
              <w:t xml:space="preserve"> περιέχει κεφάλαιο που περιγράφει το </w:t>
            </w:r>
            <w:r w:rsidRPr="00486EC5">
              <w:rPr>
                <w:rFonts w:asciiTheme="minorHAnsi" w:hAnsiTheme="minorHAnsi" w:cs="Calibri"/>
                <w:i/>
                <w:sz w:val="16"/>
                <w:szCs w:val="16"/>
                <w:lang w:val="el-GR"/>
              </w:rPr>
              <w:t>Μηχανισμό Παρακολούθησης και Αξιολόγησης</w:t>
            </w:r>
            <w:r w:rsidRPr="00486EC5">
              <w:rPr>
                <w:rFonts w:asciiTheme="minorHAnsi" w:hAnsiTheme="minorHAnsi" w:cs="Calibri"/>
                <w:sz w:val="16"/>
                <w:szCs w:val="16"/>
                <w:lang w:val="el-GR"/>
              </w:rPr>
              <w:t xml:space="preserve"> όπως περιγράφεται στον </w:t>
            </w:r>
            <w:r w:rsidRPr="00486EC5">
              <w:rPr>
                <w:rFonts w:asciiTheme="minorHAnsi" w:hAnsiTheme="minorHAnsi" w:cs="Calibri"/>
                <w:b/>
                <w:sz w:val="16"/>
                <w:szCs w:val="16"/>
                <w:lang w:val="el-GR"/>
              </w:rPr>
              <w:t xml:space="preserve">Πίνακα 24 </w:t>
            </w:r>
            <w:r w:rsidRPr="00486EC5">
              <w:rPr>
                <w:rFonts w:asciiTheme="minorHAnsi" w:hAnsiTheme="minorHAnsi" w:cs="Calibri"/>
                <w:sz w:val="16"/>
                <w:szCs w:val="16"/>
                <w:lang w:val="el-GR"/>
              </w:rPr>
              <w:t>(βλ.</w:t>
            </w:r>
            <w:r w:rsidRPr="00486EC5">
              <w:rPr>
                <w:rFonts w:asciiTheme="minorHAnsi" w:hAnsiTheme="minorHAnsi" w:cs="Calibri"/>
                <w:b/>
                <w:sz w:val="16"/>
                <w:szCs w:val="16"/>
                <w:lang w:val="el-GR"/>
              </w:rPr>
              <w:t xml:space="preserve"> </w:t>
            </w:r>
            <w:r w:rsidRPr="00486EC5">
              <w:rPr>
                <w:rFonts w:asciiTheme="minorHAnsi" w:hAnsiTheme="minorHAnsi" w:cs="Calibri"/>
                <w:sz w:val="16"/>
                <w:szCs w:val="16"/>
              </w:rPr>
              <w:t>ΒΗΜΑ 6</w:t>
            </w:r>
            <w:r w:rsidRPr="00486EC5">
              <w:rPr>
                <w:rFonts w:asciiTheme="minorHAnsi" w:hAnsiTheme="minorHAnsi" w:cs="Calibri"/>
                <w:b/>
                <w:sz w:val="16"/>
                <w:szCs w:val="16"/>
              </w:rPr>
              <w:t xml:space="preserve">) </w:t>
            </w:r>
            <w:r w:rsidRPr="00486EC5">
              <w:rPr>
                <w:rFonts w:asciiTheme="minorHAnsi" w:hAnsiTheme="minorHAnsi" w:cs="Calibri"/>
                <w:sz w:val="16"/>
                <w:szCs w:val="16"/>
              </w:rPr>
              <w:t xml:space="preserve"> και θα εγκριθεί από την Επιτροπή</w:t>
            </w:r>
            <w:r w:rsidRPr="00486EC5">
              <w:rPr>
                <w:rFonts w:asciiTheme="minorHAnsi" w:hAnsiTheme="minorHAnsi" w:cs="Calibri"/>
                <w:sz w:val="16"/>
                <w:szCs w:val="16"/>
                <w:lang w:val="el-GR"/>
              </w:rPr>
              <w:t xml:space="preserve"> </w:t>
            </w:r>
            <w:r w:rsidRPr="00486EC5">
              <w:rPr>
                <w:rFonts w:asciiTheme="minorHAnsi" w:hAnsiTheme="minorHAnsi" w:cs="Calibri"/>
                <w:sz w:val="16"/>
                <w:szCs w:val="16"/>
              </w:rPr>
              <w:t>Διακυβέρνησης.</w:t>
            </w:r>
          </w:p>
        </w:tc>
        <w:tc>
          <w:tcPr>
            <w:tcW w:w="375" w:type="pct"/>
          </w:tcPr>
          <w:p w14:paraId="4A8F756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30/11/2014</w:t>
            </w:r>
          </w:p>
        </w:tc>
        <w:tc>
          <w:tcPr>
            <w:tcW w:w="423" w:type="pct"/>
            <w:vMerge w:val="restart"/>
          </w:tcPr>
          <w:p w14:paraId="7C96D8E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ΓΔ</w:t>
            </w:r>
            <w:r w:rsidRPr="00486EC5">
              <w:rPr>
                <w:rFonts w:asciiTheme="minorHAnsi" w:hAnsiTheme="minorHAnsi" w:cs="Calibri"/>
                <w:sz w:val="16"/>
                <w:szCs w:val="16"/>
                <w:lang w:val="el-GR"/>
              </w:rPr>
              <w:t xml:space="preserve"> </w:t>
            </w:r>
            <w:r w:rsidRPr="00486EC5">
              <w:rPr>
                <w:rFonts w:asciiTheme="minorHAnsi" w:hAnsiTheme="minorHAnsi" w:cs="Calibri"/>
                <w:sz w:val="16"/>
                <w:szCs w:val="16"/>
              </w:rPr>
              <w:t>ΕΠΣΑ/ Επιτροπή Διακυβέρνησης</w:t>
            </w:r>
          </w:p>
        </w:tc>
        <w:tc>
          <w:tcPr>
            <w:tcW w:w="349" w:type="pct"/>
            <w:vMerge w:val="restart"/>
          </w:tcPr>
          <w:p w14:paraId="420C5835"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NAI</w:t>
            </w:r>
          </w:p>
        </w:tc>
        <w:tc>
          <w:tcPr>
            <w:tcW w:w="317" w:type="pct"/>
            <w:vMerge w:val="restart"/>
          </w:tcPr>
          <w:p w14:paraId="6EA0C2F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NAI</w:t>
            </w:r>
          </w:p>
        </w:tc>
        <w:tc>
          <w:tcPr>
            <w:tcW w:w="358" w:type="pct"/>
          </w:tcPr>
          <w:p w14:paraId="286381A7"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17/11/2014</w:t>
            </w:r>
          </w:p>
        </w:tc>
        <w:tc>
          <w:tcPr>
            <w:tcW w:w="792" w:type="pct"/>
            <w:vMerge w:val="restart"/>
          </w:tcPr>
          <w:p w14:paraId="0C719EF1"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της Εθνικής Στρατηγικής Έξυπνης Εξειδίκευσης (</w:t>
            </w:r>
            <w:r w:rsidRPr="00486EC5">
              <w:rPr>
                <w:rFonts w:asciiTheme="minorHAnsi" w:hAnsiTheme="minorHAnsi" w:cs="Calibri"/>
                <w:sz w:val="16"/>
                <w:szCs w:val="16"/>
              </w:rPr>
              <w:t>S</w:t>
            </w:r>
            <w:r w:rsidRPr="00486EC5">
              <w:rPr>
                <w:rFonts w:asciiTheme="minorHAnsi" w:hAnsiTheme="minorHAnsi" w:cs="Calibri"/>
                <w:sz w:val="16"/>
                <w:szCs w:val="16"/>
                <w:lang w:val="el-GR"/>
              </w:rPr>
              <w:t>3</w:t>
            </w:r>
            <w:r w:rsidRPr="00486EC5">
              <w:rPr>
                <w:rFonts w:asciiTheme="minorHAnsi" w:hAnsiTheme="minorHAnsi" w:cs="Calibri"/>
                <w:sz w:val="16"/>
                <w:szCs w:val="16"/>
              </w:rPr>
              <w:t>Cy</w:t>
            </w:r>
            <w:r w:rsidRPr="00486EC5">
              <w:rPr>
                <w:rFonts w:asciiTheme="minorHAnsi" w:hAnsiTheme="minorHAnsi" w:cs="Calibri"/>
                <w:sz w:val="16"/>
                <w:szCs w:val="16"/>
                <w:lang w:val="el-GR"/>
              </w:rPr>
              <w:t>) από το Υπουργικό Συμβούλιο στις 26/3/15.</w:t>
            </w:r>
          </w:p>
          <w:p w14:paraId="7DEB2AA9"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23/7/15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(2015)3098535).</w:t>
            </w:r>
          </w:p>
        </w:tc>
      </w:tr>
      <w:tr w:rsidR="005C0158" w:rsidRPr="00486EC5" w14:paraId="6A25BCC8" w14:textId="77777777" w:rsidTr="004003A3">
        <w:trPr>
          <w:trHeight w:val="2252"/>
          <w:jc w:val="center"/>
        </w:trPr>
        <w:tc>
          <w:tcPr>
            <w:tcW w:w="597" w:type="pct"/>
            <w:vMerge/>
            <w:shd w:val="clear" w:color="auto" w:fill="auto"/>
          </w:tcPr>
          <w:p w14:paraId="78F9AC7B"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vMerge/>
          </w:tcPr>
          <w:p w14:paraId="1D5AF527"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p>
        </w:tc>
        <w:tc>
          <w:tcPr>
            <w:tcW w:w="1190" w:type="pct"/>
          </w:tcPr>
          <w:p w14:paraId="457BA66B"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Σύσταση  και λειτουργία του </w:t>
            </w:r>
            <w:r w:rsidRPr="00486EC5">
              <w:rPr>
                <w:rFonts w:asciiTheme="minorHAnsi" w:hAnsiTheme="minorHAnsi" w:cs="Calibri"/>
                <w:i/>
                <w:sz w:val="16"/>
                <w:szCs w:val="16"/>
                <w:lang w:val="el-GR"/>
              </w:rPr>
              <w:t>Μηχανισμού συνεχούς Παρακολούθησης και Αξιολόγησης</w:t>
            </w:r>
            <w:r w:rsidRPr="00486EC5">
              <w:rPr>
                <w:rFonts w:asciiTheme="minorHAnsi" w:hAnsiTheme="minorHAnsi" w:cs="Calibri"/>
                <w:sz w:val="16"/>
                <w:szCs w:val="16"/>
                <w:lang w:val="el-GR"/>
              </w:rPr>
              <w:t xml:space="preserve"> που θα αναφέρεται σε </w:t>
            </w:r>
            <w:r w:rsidRPr="00486EC5">
              <w:rPr>
                <w:rFonts w:asciiTheme="minorHAnsi" w:hAnsiTheme="minorHAnsi" w:cs="Calibri"/>
                <w:i/>
                <w:sz w:val="16"/>
                <w:szCs w:val="16"/>
                <w:lang w:val="el-GR"/>
              </w:rPr>
              <w:t xml:space="preserve">Επιτροπή Παρακολούθησης. </w:t>
            </w:r>
            <w:r w:rsidRPr="00486EC5">
              <w:rPr>
                <w:rFonts w:asciiTheme="minorHAnsi" w:hAnsiTheme="minorHAnsi" w:cs="Calibri"/>
                <w:sz w:val="16"/>
                <w:szCs w:val="16"/>
                <w:lang w:val="el-GR"/>
              </w:rPr>
              <w:t xml:space="preserve">Ο Μηχανισμός αυτός θα διασφαλίζει τη συνεχή εξειδίκευση, παρακολούθηση και αξιολόγηση της </w:t>
            </w:r>
            <w:r w:rsidRPr="00486EC5">
              <w:rPr>
                <w:rFonts w:asciiTheme="minorHAnsi" w:hAnsiTheme="minorHAnsi" w:cs="Calibri"/>
                <w:sz w:val="16"/>
                <w:szCs w:val="16"/>
              </w:rPr>
              <w:t>S</w:t>
            </w:r>
            <w:r w:rsidRPr="00486EC5">
              <w:rPr>
                <w:rFonts w:asciiTheme="minorHAnsi" w:hAnsiTheme="minorHAnsi" w:cs="Calibri"/>
                <w:sz w:val="16"/>
                <w:szCs w:val="16"/>
                <w:lang w:val="el-GR"/>
              </w:rPr>
              <w:t>3</w:t>
            </w:r>
            <w:r w:rsidRPr="00486EC5">
              <w:rPr>
                <w:rFonts w:asciiTheme="minorHAnsi" w:hAnsiTheme="minorHAnsi" w:cs="Calibri"/>
                <w:sz w:val="16"/>
                <w:szCs w:val="16"/>
              </w:rPr>
              <w:t>Cy</w:t>
            </w:r>
            <w:r w:rsidRPr="00486EC5">
              <w:rPr>
                <w:rFonts w:asciiTheme="minorHAnsi" w:hAnsiTheme="minorHAnsi" w:cs="Calibri"/>
                <w:sz w:val="16"/>
                <w:szCs w:val="16"/>
                <w:lang w:val="el-GR"/>
              </w:rPr>
              <w:t xml:space="preserve"> με την ενεργό συμμετοχή εκπροσώπων του τετραπλού έλικα,</w:t>
            </w:r>
            <w:r w:rsidRPr="00486EC5">
              <w:rPr>
                <w:rFonts w:asciiTheme="minorHAnsi" w:hAnsiTheme="minorHAnsi" w:cs="Calibri"/>
                <w:bCs/>
                <w:sz w:val="16"/>
                <w:szCs w:val="16"/>
                <w:lang w:val="el-GR"/>
              </w:rPr>
              <w:t xml:space="preserve"> μέσω της διαδικασίας ‘</w:t>
            </w:r>
            <w:r w:rsidRPr="00486EC5">
              <w:rPr>
                <w:rFonts w:asciiTheme="minorHAnsi" w:hAnsiTheme="minorHAnsi" w:cs="Calibri"/>
                <w:bCs/>
                <w:i/>
                <w:sz w:val="16"/>
                <w:szCs w:val="16"/>
                <w:lang w:val="en-GB"/>
              </w:rPr>
              <w:t>entrepreneurial</w:t>
            </w:r>
            <w:r w:rsidRPr="00486EC5">
              <w:rPr>
                <w:rFonts w:asciiTheme="minorHAnsi" w:hAnsiTheme="minorHAnsi" w:cs="Calibri"/>
                <w:bCs/>
                <w:i/>
                <w:sz w:val="16"/>
                <w:szCs w:val="16"/>
                <w:lang w:val="el-GR"/>
              </w:rPr>
              <w:t xml:space="preserve"> </w:t>
            </w:r>
            <w:r w:rsidRPr="00486EC5">
              <w:rPr>
                <w:rFonts w:asciiTheme="minorHAnsi" w:hAnsiTheme="minorHAnsi" w:cs="Calibri"/>
                <w:bCs/>
                <w:i/>
                <w:sz w:val="16"/>
                <w:szCs w:val="16"/>
                <w:lang w:val="en-GB"/>
              </w:rPr>
              <w:t>discovery</w:t>
            </w:r>
            <w:r w:rsidRPr="00486EC5">
              <w:rPr>
                <w:rFonts w:asciiTheme="minorHAnsi" w:hAnsiTheme="minorHAnsi" w:cs="Calibri"/>
                <w:bCs/>
                <w:i/>
                <w:sz w:val="16"/>
                <w:szCs w:val="16"/>
                <w:lang w:val="el-GR"/>
              </w:rPr>
              <w:t xml:space="preserve"> </w:t>
            </w:r>
            <w:r w:rsidRPr="00486EC5">
              <w:rPr>
                <w:rFonts w:asciiTheme="minorHAnsi" w:hAnsiTheme="minorHAnsi" w:cs="Calibri"/>
                <w:bCs/>
                <w:i/>
                <w:sz w:val="16"/>
                <w:szCs w:val="16"/>
                <w:lang w:val="en-GB"/>
              </w:rPr>
              <w:t>process</w:t>
            </w:r>
            <w:r w:rsidRPr="00486EC5">
              <w:rPr>
                <w:rFonts w:asciiTheme="minorHAnsi" w:hAnsiTheme="minorHAnsi" w:cs="Calibri"/>
                <w:bCs/>
                <w:i/>
                <w:sz w:val="16"/>
                <w:szCs w:val="16"/>
                <w:lang w:val="el-GR"/>
              </w:rPr>
              <w:t xml:space="preserve">’. </w:t>
            </w:r>
            <w:r w:rsidRPr="00486EC5">
              <w:rPr>
                <w:rFonts w:asciiTheme="minorHAnsi" w:hAnsiTheme="minorHAnsi" w:cs="Calibri"/>
                <w:sz w:val="16"/>
                <w:szCs w:val="16"/>
                <w:lang w:val="el-GR"/>
              </w:rPr>
              <w:t>Στο πλαίσιο του Μηχανισμού Παρακολούθησης θα εκπονούνται Ετήσιες Εκθέσεις Προόδου Υλοποίησης και λήψη τυχόν διορθωτικών μέτρων /αναπροσαρμογή της Στρατηγικής ή/και του σχεδίου δράσης.</w:t>
            </w:r>
          </w:p>
        </w:tc>
        <w:tc>
          <w:tcPr>
            <w:tcW w:w="375" w:type="pct"/>
          </w:tcPr>
          <w:p w14:paraId="33AC3B2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30/06/2015</w:t>
            </w:r>
          </w:p>
          <w:p w14:paraId="716515CF"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p w14:paraId="4E02A893"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423" w:type="pct"/>
            <w:vMerge/>
          </w:tcPr>
          <w:p w14:paraId="5709EB57"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tcPr>
          <w:p w14:paraId="32963D93"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tcPr>
          <w:p w14:paraId="48C5097E"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tcPr>
          <w:p w14:paraId="4A09FF7D"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26/03/2015</w:t>
            </w:r>
          </w:p>
        </w:tc>
        <w:tc>
          <w:tcPr>
            <w:tcW w:w="792" w:type="pct"/>
            <w:vMerge/>
          </w:tcPr>
          <w:p w14:paraId="7C9B3AA5" w14:textId="77777777" w:rsidR="005C0158" w:rsidRPr="00486EC5" w:rsidRDefault="005C0158" w:rsidP="004003A3">
            <w:pPr>
              <w:snapToGrid w:val="0"/>
              <w:spacing w:before="120" w:after="0" w:line="240" w:lineRule="auto"/>
              <w:rPr>
                <w:rFonts w:asciiTheme="minorHAnsi" w:hAnsiTheme="minorHAnsi" w:cs="Calibri"/>
                <w:sz w:val="16"/>
                <w:szCs w:val="16"/>
              </w:rPr>
            </w:pPr>
          </w:p>
        </w:tc>
      </w:tr>
      <w:tr w:rsidR="005C0158" w:rsidRPr="00486EC5" w14:paraId="690917AB" w14:textId="77777777" w:rsidTr="004003A3">
        <w:trPr>
          <w:trHeight w:val="132"/>
          <w:jc w:val="center"/>
        </w:trPr>
        <w:tc>
          <w:tcPr>
            <w:tcW w:w="597" w:type="pct"/>
            <w:vMerge/>
            <w:shd w:val="clear" w:color="auto" w:fill="auto"/>
          </w:tcPr>
          <w:p w14:paraId="44C833C6" w14:textId="77777777" w:rsidR="005C0158" w:rsidRPr="00486EC5" w:rsidRDefault="005C0158" w:rsidP="004003A3">
            <w:pPr>
              <w:spacing w:before="120" w:after="120" w:line="240" w:lineRule="auto"/>
              <w:rPr>
                <w:rFonts w:asciiTheme="minorHAnsi" w:hAnsiTheme="minorHAnsi" w:cs="Calibri"/>
                <w:b/>
                <w:i/>
                <w:sz w:val="16"/>
                <w:szCs w:val="16"/>
              </w:rPr>
            </w:pPr>
          </w:p>
        </w:tc>
        <w:tc>
          <w:tcPr>
            <w:tcW w:w="599" w:type="pct"/>
            <w:vMerge w:val="restart"/>
          </w:tcPr>
          <w:p w14:paraId="4F771B14" w14:textId="77777777" w:rsidR="005C0158" w:rsidRPr="00486EC5" w:rsidRDefault="005C0158" w:rsidP="004003A3">
            <w:pPr>
              <w:snapToGrid w:val="0"/>
              <w:spacing w:before="120" w:after="0" w:line="240" w:lineRule="auto"/>
              <w:rPr>
                <w:rFonts w:asciiTheme="minorHAnsi" w:hAnsiTheme="minorHAnsi" w:cs="Calibri"/>
                <w:b/>
                <w:sz w:val="16"/>
                <w:szCs w:val="16"/>
                <w:lang w:val="el-GR"/>
              </w:rPr>
            </w:pPr>
            <w:r w:rsidRPr="00486EC5">
              <w:rPr>
                <w:rFonts w:asciiTheme="minorHAnsi" w:hAnsiTheme="minorHAnsi" w:cs="Calibri"/>
                <w:sz w:val="16"/>
                <w:szCs w:val="16"/>
                <w:lang w:val="el-GR"/>
              </w:rPr>
              <w:t>5 - Έχει εγκριθεί πλαίσιο που ορίζει τους διαθέσιμους δημοσιονομικούς πόρους για έρευνα και καινοτομία</w:t>
            </w:r>
          </w:p>
        </w:tc>
        <w:tc>
          <w:tcPr>
            <w:tcW w:w="1190" w:type="pct"/>
          </w:tcPr>
          <w:p w14:paraId="2756BA8A"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Ολοκλήρωση και έγκριση από την Επιτροπή Διακυβέρνησης του χρηματοδοτικού πλαισίου που ορίζει τους πόρους (Ταμεία και Προγράμματα με συγχρηματοδότηση της ΕΕ, και εθνικούς) για Ε&amp;Κ στα πλαίσια της </w:t>
            </w:r>
            <w:r w:rsidRPr="00486EC5">
              <w:rPr>
                <w:rFonts w:asciiTheme="minorHAnsi" w:hAnsiTheme="minorHAnsi" w:cs="Calibri"/>
                <w:sz w:val="16"/>
                <w:szCs w:val="16"/>
              </w:rPr>
              <w:t>S</w:t>
            </w:r>
            <w:r w:rsidRPr="00486EC5">
              <w:rPr>
                <w:rFonts w:asciiTheme="minorHAnsi" w:hAnsiTheme="minorHAnsi" w:cs="Calibri"/>
                <w:sz w:val="16"/>
                <w:szCs w:val="16"/>
                <w:lang w:val="el-GR"/>
              </w:rPr>
              <w:t>3</w:t>
            </w:r>
            <w:r w:rsidRPr="00486EC5">
              <w:rPr>
                <w:rFonts w:asciiTheme="minorHAnsi" w:hAnsiTheme="minorHAnsi" w:cs="Calibri"/>
                <w:sz w:val="16"/>
                <w:szCs w:val="16"/>
              </w:rPr>
              <w:t>Cy</w:t>
            </w:r>
            <w:r w:rsidRPr="00486EC5">
              <w:rPr>
                <w:rFonts w:asciiTheme="minorHAnsi" w:hAnsiTheme="minorHAnsi" w:cs="Calibri"/>
                <w:sz w:val="16"/>
                <w:szCs w:val="16"/>
                <w:lang w:val="el-GR"/>
              </w:rPr>
              <w:t xml:space="preserve"> </w:t>
            </w:r>
          </w:p>
        </w:tc>
        <w:tc>
          <w:tcPr>
            <w:tcW w:w="375" w:type="pct"/>
          </w:tcPr>
          <w:p w14:paraId="453F05A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30/11/2014</w:t>
            </w:r>
          </w:p>
        </w:tc>
        <w:tc>
          <w:tcPr>
            <w:tcW w:w="423" w:type="pct"/>
            <w:vMerge w:val="restart"/>
          </w:tcPr>
          <w:p w14:paraId="1DC93A2E"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ΓΔ ΕΠΣΑ/ Επιτροπή Διακυβέρνησης/ Υπουργικό Συμβούλιο</w:t>
            </w:r>
          </w:p>
        </w:tc>
        <w:tc>
          <w:tcPr>
            <w:tcW w:w="349" w:type="pct"/>
            <w:vMerge w:val="restart"/>
          </w:tcPr>
          <w:p w14:paraId="4BC9AE0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NAI</w:t>
            </w:r>
          </w:p>
        </w:tc>
        <w:tc>
          <w:tcPr>
            <w:tcW w:w="317" w:type="pct"/>
            <w:vMerge w:val="restart"/>
          </w:tcPr>
          <w:p w14:paraId="13255E84"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NAI</w:t>
            </w:r>
          </w:p>
        </w:tc>
        <w:tc>
          <w:tcPr>
            <w:tcW w:w="358" w:type="pct"/>
          </w:tcPr>
          <w:p w14:paraId="1BA7B4FD"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17/11/2014</w:t>
            </w:r>
          </w:p>
        </w:tc>
        <w:tc>
          <w:tcPr>
            <w:tcW w:w="792" w:type="pct"/>
            <w:vMerge w:val="restart"/>
          </w:tcPr>
          <w:p w14:paraId="0BD708E2"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της Εθνικής Στρατηγικής Έξυπνης Εξειδίκευσης (</w:t>
            </w:r>
            <w:r w:rsidRPr="00486EC5">
              <w:rPr>
                <w:rFonts w:asciiTheme="minorHAnsi" w:hAnsiTheme="minorHAnsi" w:cs="Calibri"/>
                <w:sz w:val="16"/>
                <w:szCs w:val="16"/>
              </w:rPr>
              <w:t>S</w:t>
            </w:r>
            <w:r w:rsidRPr="00486EC5">
              <w:rPr>
                <w:rFonts w:asciiTheme="minorHAnsi" w:hAnsiTheme="minorHAnsi" w:cs="Calibri"/>
                <w:sz w:val="16"/>
                <w:szCs w:val="16"/>
                <w:lang w:val="el-GR"/>
              </w:rPr>
              <w:t>3</w:t>
            </w:r>
            <w:r w:rsidRPr="00486EC5">
              <w:rPr>
                <w:rFonts w:asciiTheme="minorHAnsi" w:hAnsiTheme="minorHAnsi" w:cs="Calibri"/>
                <w:sz w:val="16"/>
                <w:szCs w:val="16"/>
              </w:rPr>
              <w:t>Cy</w:t>
            </w:r>
            <w:r w:rsidRPr="00486EC5">
              <w:rPr>
                <w:rFonts w:asciiTheme="minorHAnsi" w:hAnsiTheme="minorHAnsi" w:cs="Calibri"/>
                <w:sz w:val="16"/>
                <w:szCs w:val="16"/>
                <w:lang w:val="el-GR"/>
              </w:rPr>
              <w:t>) από το Υπουργικό Συμβούλιο στις 26/3/15.</w:t>
            </w:r>
          </w:p>
          <w:p w14:paraId="537C77B4"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23/7/15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(2015)3098535).</w:t>
            </w:r>
          </w:p>
        </w:tc>
      </w:tr>
      <w:tr w:rsidR="005C0158" w:rsidRPr="00486EC5" w14:paraId="7529F0CF" w14:textId="77777777" w:rsidTr="004003A3">
        <w:trPr>
          <w:trHeight w:val="517"/>
          <w:jc w:val="center"/>
        </w:trPr>
        <w:tc>
          <w:tcPr>
            <w:tcW w:w="597" w:type="pct"/>
            <w:vMerge/>
            <w:shd w:val="clear" w:color="auto" w:fill="auto"/>
          </w:tcPr>
          <w:p w14:paraId="1CDDEED0" w14:textId="77777777" w:rsidR="005C0158" w:rsidRPr="00486EC5" w:rsidRDefault="005C0158" w:rsidP="004003A3">
            <w:pPr>
              <w:spacing w:before="120" w:after="120" w:line="240" w:lineRule="auto"/>
              <w:rPr>
                <w:rFonts w:asciiTheme="minorHAnsi" w:hAnsiTheme="minorHAnsi" w:cs="Calibri"/>
                <w:b/>
                <w:i/>
                <w:sz w:val="16"/>
                <w:szCs w:val="16"/>
                <w:lang w:val="el-GR"/>
              </w:rPr>
            </w:pPr>
          </w:p>
        </w:tc>
        <w:tc>
          <w:tcPr>
            <w:tcW w:w="599" w:type="pct"/>
            <w:vMerge/>
          </w:tcPr>
          <w:p w14:paraId="091F666D"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p>
        </w:tc>
        <w:tc>
          <w:tcPr>
            <w:tcW w:w="1190" w:type="pct"/>
          </w:tcPr>
          <w:p w14:paraId="14A9144E"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Έγκριση του χρηματοδοτικού πλαισίου από το Υπουργικό Συμβούλιο</w:t>
            </w:r>
          </w:p>
        </w:tc>
        <w:tc>
          <w:tcPr>
            <w:tcW w:w="375" w:type="pct"/>
          </w:tcPr>
          <w:p w14:paraId="357CAA5C"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31/03/2015</w:t>
            </w:r>
          </w:p>
        </w:tc>
        <w:tc>
          <w:tcPr>
            <w:tcW w:w="423" w:type="pct"/>
            <w:vMerge/>
          </w:tcPr>
          <w:p w14:paraId="0AA063D7"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tcPr>
          <w:p w14:paraId="4622EF78"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tcPr>
          <w:p w14:paraId="4549A98F"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tcPr>
          <w:p w14:paraId="35FA9A0F"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26/03/2015</w:t>
            </w:r>
          </w:p>
        </w:tc>
        <w:tc>
          <w:tcPr>
            <w:tcW w:w="792" w:type="pct"/>
            <w:vMerge/>
          </w:tcPr>
          <w:p w14:paraId="69F4F362" w14:textId="77777777" w:rsidR="005C0158" w:rsidRPr="00486EC5" w:rsidRDefault="005C0158" w:rsidP="004003A3">
            <w:pPr>
              <w:snapToGrid w:val="0"/>
              <w:spacing w:before="120" w:after="0" w:line="240" w:lineRule="auto"/>
              <w:rPr>
                <w:rFonts w:asciiTheme="minorHAnsi" w:hAnsiTheme="minorHAnsi" w:cs="Calibri"/>
                <w:sz w:val="16"/>
                <w:szCs w:val="16"/>
              </w:rPr>
            </w:pPr>
          </w:p>
        </w:tc>
      </w:tr>
      <w:tr w:rsidR="005C0158" w:rsidRPr="00486EC5" w14:paraId="7808881C" w14:textId="77777777" w:rsidTr="004003A3">
        <w:trPr>
          <w:trHeight w:val="274"/>
          <w:jc w:val="center"/>
        </w:trPr>
        <w:tc>
          <w:tcPr>
            <w:tcW w:w="597" w:type="pct"/>
            <w:vMerge w:val="restart"/>
          </w:tcPr>
          <w:p w14:paraId="650818DA" w14:textId="77777777" w:rsidR="005C0158" w:rsidRPr="00486EC5" w:rsidRDefault="005C0158" w:rsidP="004003A3">
            <w:pPr>
              <w:snapToGrid w:val="0"/>
              <w:spacing w:before="120" w:after="120" w:line="240" w:lineRule="auto"/>
              <w:rPr>
                <w:rFonts w:asciiTheme="minorHAnsi" w:hAnsiTheme="minorHAnsi" w:cs="Calibri"/>
                <w:sz w:val="16"/>
                <w:szCs w:val="16"/>
                <w:lang w:val="el-GR"/>
              </w:rPr>
            </w:pPr>
            <w:r w:rsidRPr="00486EC5">
              <w:rPr>
                <w:rFonts w:asciiTheme="minorHAnsi" w:hAnsiTheme="minorHAnsi" w:cs="Calibri"/>
                <w:b/>
                <w:i/>
                <w:sz w:val="16"/>
                <w:szCs w:val="16"/>
                <w:lang w:val="el-GR"/>
              </w:rPr>
              <w:t xml:space="preserve">1.2 Υποδομές Έρευνας και Καινοτομίας: </w:t>
            </w:r>
            <w:r w:rsidRPr="00486EC5">
              <w:rPr>
                <w:rFonts w:asciiTheme="minorHAnsi" w:hAnsiTheme="minorHAnsi" w:cs="Calibri"/>
                <w:sz w:val="16"/>
                <w:szCs w:val="16"/>
                <w:lang w:val="el-GR"/>
              </w:rPr>
              <w:t xml:space="preserve">Η ύπαρξη ενός πολυετούς σχεδίου για </w:t>
            </w:r>
            <w:r w:rsidRPr="00486EC5">
              <w:rPr>
                <w:rFonts w:asciiTheme="minorHAnsi" w:hAnsiTheme="minorHAnsi" w:cs="Calibri"/>
                <w:sz w:val="16"/>
                <w:szCs w:val="16"/>
                <w:lang w:val="el-GR"/>
              </w:rPr>
              <w:lastRenderedPageBreak/>
              <w:t>την κατάρτιση του προϋπολογισμού και την ιεράρχηση των επενδύσεων</w:t>
            </w:r>
          </w:p>
        </w:tc>
        <w:tc>
          <w:tcPr>
            <w:tcW w:w="599" w:type="pct"/>
            <w:vMerge w:val="restart"/>
          </w:tcPr>
          <w:p w14:paraId="02AE5384"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lastRenderedPageBreak/>
              <w:t xml:space="preserve">1 - Έχει υιοθετηθεί ενδεικτικό πολυετές σχέδιο για την κατάρτιση </w:t>
            </w:r>
            <w:r w:rsidRPr="00486EC5">
              <w:rPr>
                <w:rFonts w:asciiTheme="minorHAnsi" w:hAnsiTheme="minorHAnsi" w:cs="Calibri"/>
                <w:sz w:val="16"/>
                <w:szCs w:val="16"/>
                <w:lang w:val="el-GR"/>
              </w:rPr>
              <w:lastRenderedPageBreak/>
              <w:t>προϋπολογισμού και την ιεράρχηση προτεραιοτήτων για επενδύσεις που συνδέονται με τις προτεραιότητες της ΕΕ, και ενδεχομένως, με το Ευρωπαϊκό Στρατηγικό Φόρουμ Ερευνητικών Υποδομών (</w:t>
            </w:r>
            <w:r w:rsidRPr="00486EC5">
              <w:rPr>
                <w:rFonts w:asciiTheme="minorHAnsi" w:hAnsiTheme="minorHAnsi" w:cs="Calibri"/>
                <w:sz w:val="16"/>
                <w:szCs w:val="16"/>
              </w:rPr>
              <w:t>ESFRI</w:t>
            </w:r>
            <w:r w:rsidRPr="00486EC5">
              <w:rPr>
                <w:rFonts w:asciiTheme="minorHAnsi" w:hAnsiTheme="minorHAnsi" w:cs="Calibri"/>
                <w:sz w:val="16"/>
                <w:szCs w:val="16"/>
                <w:lang w:val="el-GR"/>
              </w:rPr>
              <w:t>).</w:t>
            </w:r>
          </w:p>
        </w:tc>
        <w:tc>
          <w:tcPr>
            <w:tcW w:w="1190" w:type="pct"/>
          </w:tcPr>
          <w:p w14:paraId="74C6AD24"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lastRenderedPageBreak/>
              <w:t xml:space="preserve">Έγκριση των τομέων προτεραιότητας στους οποίους θα επικεντρωθούν οι επενδύσεις για τη δημιουργία/ αναβάθμιση ερευνητικών υποδομών και του ενδεικτικού </w:t>
            </w:r>
            <w:r w:rsidRPr="00486EC5">
              <w:rPr>
                <w:rFonts w:asciiTheme="minorHAnsi" w:hAnsiTheme="minorHAnsi" w:cs="Calibri"/>
                <w:sz w:val="16"/>
                <w:szCs w:val="16"/>
                <w:lang w:val="el-GR"/>
              </w:rPr>
              <w:lastRenderedPageBreak/>
              <w:t xml:space="preserve">προϋπολογισμού στα πλαίσια έγκρισης της </w:t>
            </w:r>
            <w:r w:rsidRPr="00486EC5">
              <w:rPr>
                <w:rFonts w:asciiTheme="minorHAnsi" w:hAnsiTheme="minorHAnsi" w:cs="Calibri"/>
                <w:sz w:val="16"/>
                <w:szCs w:val="16"/>
                <w:lang w:val="en-GB"/>
              </w:rPr>
              <w:t>S</w:t>
            </w:r>
            <w:r w:rsidRPr="00486EC5">
              <w:rPr>
                <w:rFonts w:asciiTheme="minorHAnsi" w:hAnsiTheme="minorHAnsi" w:cs="Calibri"/>
                <w:sz w:val="16"/>
                <w:szCs w:val="16"/>
                <w:lang w:val="el-GR"/>
              </w:rPr>
              <w:t>3</w:t>
            </w:r>
            <w:r w:rsidRPr="00486EC5">
              <w:rPr>
                <w:rFonts w:asciiTheme="minorHAnsi" w:hAnsiTheme="minorHAnsi" w:cs="Calibri"/>
                <w:sz w:val="16"/>
                <w:szCs w:val="16"/>
                <w:lang w:val="en-GB"/>
              </w:rPr>
              <w:t>Cy</w:t>
            </w:r>
            <w:r w:rsidRPr="00486EC5">
              <w:rPr>
                <w:rFonts w:asciiTheme="minorHAnsi" w:hAnsiTheme="minorHAnsi" w:cs="Calibri"/>
                <w:sz w:val="16"/>
                <w:szCs w:val="16"/>
                <w:lang w:val="el-GR"/>
              </w:rPr>
              <w:t xml:space="preserve">  και του Σχεδίου Δράσης από την Επιτροπή Διακυβέρνησης</w:t>
            </w:r>
          </w:p>
        </w:tc>
        <w:tc>
          <w:tcPr>
            <w:tcW w:w="375" w:type="pct"/>
          </w:tcPr>
          <w:p w14:paraId="04ED3525"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lastRenderedPageBreak/>
              <w:t>30/11/2014</w:t>
            </w:r>
          </w:p>
        </w:tc>
        <w:tc>
          <w:tcPr>
            <w:tcW w:w="423" w:type="pct"/>
            <w:vMerge w:val="restart"/>
          </w:tcPr>
          <w:p w14:paraId="1B1C889D"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 xml:space="preserve">ΓΔ ΕΠΣΑ/ Επιτροπή Διακυβέρνησης/ </w:t>
            </w:r>
            <w:r w:rsidRPr="00486EC5">
              <w:rPr>
                <w:rFonts w:asciiTheme="minorHAnsi" w:hAnsiTheme="minorHAnsi" w:cs="Calibri"/>
                <w:sz w:val="16"/>
                <w:szCs w:val="16"/>
                <w:lang w:val="el-GR"/>
              </w:rPr>
              <w:lastRenderedPageBreak/>
              <w:t>Υπουργικό Συμβούλιο</w:t>
            </w:r>
          </w:p>
        </w:tc>
        <w:tc>
          <w:tcPr>
            <w:tcW w:w="349" w:type="pct"/>
            <w:vMerge w:val="restart"/>
          </w:tcPr>
          <w:p w14:paraId="30B19D0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lastRenderedPageBreak/>
              <w:t>NAI</w:t>
            </w:r>
          </w:p>
        </w:tc>
        <w:tc>
          <w:tcPr>
            <w:tcW w:w="317" w:type="pct"/>
            <w:vMerge w:val="restart"/>
          </w:tcPr>
          <w:p w14:paraId="28E276B4"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NAI</w:t>
            </w:r>
          </w:p>
        </w:tc>
        <w:tc>
          <w:tcPr>
            <w:tcW w:w="358" w:type="pct"/>
          </w:tcPr>
          <w:p w14:paraId="12F0AAB7"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17/11/2014</w:t>
            </w:r>
          </w:p>
        </w:tc>
        <w:tc>
          <w:tcPr>
            <w:tcW w:w="792" w:type="pct"/>
            <w:vMerge w:val="restart"/>
          </w:tcPr>
          <w:p w14:paraId="35D1E15C"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της Εθνικής Στρατηγικής Έξυπνης Εξειδίκευσης (</w:t>
            </w:r>
            <w:r w:rsidRPr="00486EC5">
              <w:rPr>
                <w:rFonts w:asciiTheme="minorHAnsi" w:hAnsiTheme="minorHAnsi" w:cs="Calibri"/>
                <w:sz w:val="16"/>
                <w:szCs w:val="16"/>
              </w:rPr>
              <w:t>S</w:t>
            </w:r>
            <w:r w:rsidRPr="00486EC5">
              <w:rPr>
                <w:rFonts w:asciiTheme="minorHAnsi" w:hAnsiTheme="minorHAnsi" w:cs="Calibri"/>
                <w:sz w:val="16"/>
                <w:szCs w:val="16"/>
                <w:lang w:val="el-GR"/>
              </w:rPr>
              <w:t>3</w:t>
            </w:r>
            <w:r w:rsidRPr="00486EC5">
              <w:rPr>
                <w:rFonts w:asciiTheme="minorHAnsi" w:hAnsiTheme="minorHAnsi" w:cs="Calibri"/>
                <w:sz w:val="16"/>
                <w:szCs w:val="16"/>
              </w:rPr>
              <w:t>Cy</w:t>
            </w:r>
            <w:r w:rsidRPr="00486EC5">
              <w:rPr>
                <w:rFonts w:asciiTheme="minorHAnsi" w:hAnsiTheme="minorHAnsi" w:cs="Calibri"/>
                <w:sz w:val="16"/>
                <w:szCs w:val="16"/>
                <w:lang w:val="el-GR"/>
              </w:rPr>
              <w:t xml:space="preserve">) από το </w:t>
            </w:r>
            <w:r w:rsidRPr="00486EC5">
              <w:rPr>
                <w:rFonts w:asciiTheme="minorHAnsi" w:hAnsiTheme="minorHAnsi" w:cs="Calibri"/>
                <w:sz w:val="16"/>
                <w:szCs w:val="16"/>
                <w:lang w:val="el-GR"/>
              </w:rPr>
              <w:lastRenderedPageBreak/>
              <w:t>Υπουργικό Συμβούλιο στις 26/3/15.</w:t>
            </w:r>
          </w:p>
          <w:p w14:paraId="4FBF46B6"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23/7/15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(2015)3098535).</w:t>
            </w:r>
          </w:p>
        </w:tc>
      </w:tr>
      <w:tr w:rsidR="005C0158" w:rsidRPr="00486EC5" w14:paraId="77DC61EC" w14:textId="77777777" w:rsidTr="004003A3">
        <w:trPr>
          <w:trHeight w:val="713"/>
          <w:jc w:val="center"/>
        </w:trPr>
        <w:tc>
          <w:tcPr>
            <w:tcW w:w="597" w:type="pct"/>
            <w:vMerge/>
          </w:tcPr>
          <w:p w14:paraId="7A5A8BC3" w14:textId="77777777" w:rsidR="005C0158" w:rsidRPr="00486EC5" w:rsidRDefault="005C0158" w:rsidP="004003A3">
            <w:pPr>
              <w:snapToGrid w:val="0"/>
              <w:spacing w:before="120" w:after="120" w:line="240" w:lineRule="auto"/>
              <w:rPr>
                <w:rFonts w:asciiTheme="minorHAnsi" w:hAnsiTheme="minorHAnsi" w:cs="Calibri"/>
                <w:b/>
                <w:i/>
                <w:sz w:val="16"/>
                <w:szCs w:val="16"/>
                <w:lang w:val="el-GR"/>
              </w:rPr>
            </w:pPr>
          </w:p>
        </w:tc>
        <w:tc>
          <w:tcPr>
            <w:tcW w:w="599" w:type="pct"/>
            <w:vMerge/>
          </w:tcPr>
          <w:p w14:paraId="7EB09FC3"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p>
        </w:tc>
        <w:tc>
          <w:tcPr>
            <w:tcW w:w="1190" w:type="pct"/>
          </w:tcPr>
          <w:p w14:paraId="58EDF9A5"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Ετοιμασία και ολοκλήρωση προσχέδιου   ενδεικτικού πολυετούς χρηματοδοτικού σχεδίου για ιεραρχημένες επενδύσεις σε εθνικές υποδομές έρευνας και καινοτομίας</w:t>
            </w:r>
          </w:p>
        </w:tc>
        <w:tc>
          <w:tcPr>
            <w:tcW w:w="375" w:type="pct"/>
          </w:tcPr>
          <w:p w14:paraId="3C8F07E2" w14:textId="77777777" w:rsidR="005C0158" w:rsidRPr="00486EC5" w:rsidRDefault="005C0158" w:rsidP="004003A3">
            <w:pPr>
              <w:snapToGrid w:val="0"/>
              <w:spacing w:before="120" w:after="0" w:line="240" w:lineRule="auto"/>
              <w:ind w:left="34"/>
              <w:jc w:val="center"/>
              <w:rPr>
                <w:rFonts w:asciiTheme="minorHAnsi" w:hAnsiTheme="minorHAnsi" w:cs="Calibri"/>
                <w:sz w:val="16"/>
                <w:szCs w:val="16"/>
                <w:lang w:val="el-GR"/>
              </w:rPr>
            </w:pPr>
            <w:r w:rsidRPr="00486EC5">
              <w:rPr>
                <w:rFonts w:asciiTheme="minorHAnsi" w:hAnsiTheme="minorHAnsi" w:cs="Calibri"/>
                <w:sz w:val="16"/>
                <w:szCs w:val="16"/>
                <w:lang w:val="el-GR"/>
              </w:rPr>
              <w:t>28/02/2015</w:t>
            </w:r>
          </w:p>
        </w:tc>
        <w:tc>
          <w:tcPr>
            <w:tcW w:w="423" w:type="pct"/>
            <w:vMerge/>
          </w:tcPr>
          <w:p w14:paraId="562E33E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tcPr>
          <w:p w14:paraId="45892338"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tcPr>
          <w:p w14:paraId="3918E513"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tcPr>
          <w:p w14:paraId="0B18D98E"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26/02/2015</w:t>
            </w:r>
          </w:p>
        </w:tc>
        <w:tc>
          <w:tcPr>
            <w:tcW w:w="792" w:type="pct"/>
            <w:vMerge/>
          </w:tcPr>
          <w:p w14:paraId="535ED348" w14:textId="77777777" w:rsidR="005C0158" w:rsidRPr="00486EC5" w:rsidRDefault="005C0158" w:rsidP="004003A3">
            <w:pPr>
              <w:snapToGrid w:val="0"/>
              <w:spacing w:before="120" w:after="120" w:line="240" w:lineRule="auto"/>
              <w:rPr>
                <w:rFonts w:asciiTheme="minorHAnsi" w:hAnsiTheme="minorHAnsi" w:cs="Calibri"/>
                <w:sz w:val="16"/>
                <w:szCs w:val="16"/>
              </w:rPr>
            </w:pPr>
          </w:p>
        </w:tc>
      </w:tr>
      <w:tr w:rsidR="005C0158" w:rsidRPr="00486EC5" w14:paraId="155CC137" w14:textId="77777777" w:rsidTr="004003A3">
        <w:trPr>
          <w:trHeight w:val="713"/>
          <w:jc w:val="center"/>
        </w:trPr>
        <w:tc>
          <w:tcPr>
            <w:tcW w:w="597" w:type="pct"/>
            <w:vMerge/>
          </w:tcPr>
          <w:p w14:paraId="5CA582BC" w14:textId="77777777" w:rsidR="005C0158" w:rsidRPr="00486EC5" w:rsidRDefault="005C0158" w:rsidP="004003A3">
            <w:pPr>
              <w:snapToGrid w:val="0"/>
              <w:spacing w:before="120" w:after="120" w:line="240" w:lineRule="auto"/>
              <w:rPr>
                <w:rFonts w:asciiTheme="minorHAnsi" w:hAnsiTheme="minorHAnsi" w:cs="Calibri"/>
                <w:b/>
                <w:i/>
                <w:sz w:val="16"/>
                <w:szCs w:val="16"/>
              </w:rPr>
            </w:pPr>
          </w:p>
        </w:tc>
        <w:tc>
          <w:tcPr>
            <w:tcW w:w="599" w:type="pct"/>
            <w:vMerge/>
          </w:tcPr>
          <w:p w14:paraId="549544A1" w14:textId="77777777" w:rsidR="005C0158" w:rsidRPr="00486EC5" w:rsidRDefault="005C0158" w:rsidP="004003A3">
            <w:pPr>
              <w:snapToGrid w:val="0"/>
              <w:spacing w:before="120" w:after="0" w:line="240" w:lineRule="auto"/>
              <w:rPr>
                <w:rFonts w:asciiTheme="minorHAnsi" w:hAnsiTheme="minorHAnsi" w:cs="Calibri"/>
                <w:sz w:val="16"/>
                <w:szCs w:val="16"/>
              </w:rPr>
            </w:pPr>
          </w:p>
        </w:tc>
        <w:tc>
          <w:tcPr>
            <w:tcW w:w="1190" w:type="pct"/>
          </w:tcPr>
          <w:p w14:paraId="7D76C8A0"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Έγκριση του χρηματοδοτικού πλαισίου από το Υπουργικό Συμβούλιο στα πλαίσια έγκρισης της </w:t>
            </w:r>
            <w:r w:rsidRPr="00486EC5">
              <w:rPr>
                <w:rFonts w:asciiTheme="minorHAnsi" w:hAnsiTheme="minorHAnsi" w:cs="Calibri"/>
                <w:sz w:val="16"/>
                <w:szCs w:val="16"/>
                <w:lang w:val="en-GB"/>
              </w:rPr>
              <w:t>S</w:t>
            </w:r>
            <w:r w:rsidRPr="00486EC5">
              <w:rPr>
                <w:rFonts w:asciiTheme="minorHAnsi" w:hAnsiTheme="minorHAnsi" w:cs="Calibri"/>
                <w:sz w:val="16"/>
                <w:szCs w:val="16"/>
                <w:lang w:val="el-GR"/>
              </w:rPr>
              <w:t>3</w:t>
            </w:r>
            <w:r w:rsidRPr="00486EC5">
              <w:rPr>
                <w:rFonts w:asciiTheme="minorHAnsi" w:hAnsiTheme="minorHAnsi" w:cs="Calibri"/>
                <w:sz w:val="16"/>
                <w:szCs w:val="16"/>
                <w:lang w:val="en-GB"/>
              </w:rPr>
              <w:t>Cy</w:t>
            </w:r>
          </w:p>
        </w:tc>
        <w:tc>
          <w:tcPr>
            <w:tcW w:w="375" w:type="pct"/>
          </w:tcPr>
          <w:p w14:paraId="50FB90C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31/03/2015</w:t>
            </w:r>
          </w:p>
        </w:tc>
        <w:tc>
          <w:tcPr>
            <w:tcW w:w="423" w:type="pct"/>
            <w:vMerge/>
          </w:tcPr>
          <w:p w14:paraId="5DEEA086"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tcPr>
          <w:p w14:paraId="26911A4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tcPr>
          <w:p w14:paraId="27AA21B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tcPr>
          <w:p w14:paraId="44DB152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26/03/2015</w:t>
            </w:r>
          </w:p>
        </w:tc>
        <w:tc>
          <w:tcPr>
            <w:tcW w:w="792" w:type="pct"/>
            <w:vMerge/>
          </w:tcPr>
          <w:p w14:paraId="23C69C09" w14:textId="77777777" w:rsidR="005C0158" w:rsidRPr="00486EC5" w:rsidRDefault="005C0158" w:rsidP="004003A3">
            <w:pPr>
              <w:snapToGrid w:val="0"/>
              <w:spacing w:before="120" w:after="120" w:line="240" w:lineRule="auto"/>
              <w:rPr>
                <w:rFonts w:asciiTheme="minorHAnsi" w:hAnsiTheme="minorHAnsi" w:cs="Calibri"/>
                <w:sz w:val="16"/>
                <w:szCs w:val="16"/>
              </w:rPr>
            </w:pPr>
          </w:p>
        </w:tc>
      </w:tr>
      <w:tr w:rsidR="005C0158" w:rsidRPr="00486EC5" w14:paraId="38A6E8CF" w14:textId="77777777" w:rsidTr="004003A3">
        <w:trPr>
          <w:trHeight w:val="4085"/>
          <w:jc w:val="center"/>
        </w:trPr>
        <w:tc>
          <w:tcPr>
            <w:tcW w:w="597" w:type="pct"/>
            <w:shd w:val="clear" w:color="auto" w:fill="auto"/>
          </w:tcPr>
          <w:p w14:paraId="239CA18D" w14:textId="77777777" w:rsidR="005C0158"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b/>
                <w:i/>
                <w:sz w:val="16"/>
                <w:szCs w:val="16"/>
                <w:lang w:val="el-GR"/>
              </w:rPr>
              <w:t>2.1. Ψηφιακή ανάπτυξη</w:t>
            </w:r>
            <w:r w:rsidRPr="00486EC5">
              <w:rPr>
                <w:rFonts w:asciiTheme="minorHAnsi" w:hAnsiTheme="minorHAnsi" w:cs="Calibri"/>
                <w:i/>
                <w:sz w:val="16"/>
                <w:szCs w:val="16"/>
                <w:lang w:val="el-GR"/>
              </w:rPr>
              <w:t>:</w:t>
            </w:r>
            <w:r w:rsidRPr="00486EC5">
              <w:rPr>
                <w:rFonts w:asciiTheme="minorHAnsi" w:hAnsiTheme="minorHAnsi" w:cs="Calibri"/>
                <w:sz w:val="16"/>
                <w:szCs w:val="16"/>
                <w:lang w:val="el-GR"/>
              </w:rPr>
              <w:t xml:space="preserve"> Η ύπαρξη ενός στρατηγικού πλαισίου πολιτικής για την ψηφιακή ανάπτυξη, με στόχο την ενθάρρυνση των  οικονομικά προσιτών, καλής ποιότητας και διαλειτουργικών ΤΠΕ, μέσω της χρήσης τους από ιδιωτικές και δημόσιες υπηρεσίες αλλά και της αύξησης του βαθμού χρήσης τους από τους πολίτες, περιλαμβανομένων των ευπαθών ομάδων, των επιχειρήσεων και της δημόσιας διοίκησης,   συμπεριλαμβανομένων των πρωτοβουλιών διασυνοριακής συνεργασίας.</w:t>
            </w:r>
          </w:p>
          <w:p w14:paraId="226D1A72" w14:textId="152E1307" w:rsidR="00486EC5" w:rsidRPr="00486EC5" w:rsidRDefault="00486EC5" w:rsidP="004003A3">
            <w:pPr>
              <w:spacing w:before="120" w:after="0" w:line="240" w:lineRule="auto"/>
              <w:rPr>
                <w:rFonts w:asciiTheme="minorHAnsi" w:hAnsiTheme="minorHAnsi" w:cs="Calibri"/>
                <w:b/>
                <w:color w:val="000000"/>
                <w:sz w:val="16"/>
                <w:szCs w:val="16"/>
                <w:lang w:val="el-GR"/>
              </w:rPr>
            </w:pPr>
          </w:p>
        </w:tc>
        <w:tc>
          <w:tcPr>
            <w:tcW w:w="599" w:type="pct"/>
            <w:shd w:val="clear" w:color="auto" w:fill="auto"/>
          </w:tcPr>
          <w:p w14:paraId="4E9C5B7C" w14:textId="77777777" w:rsidR="005C0158" w:rsidRPr="00486EC5" w:rsidRDefault="005C0158" w:rsidP="004003A3">
            <w:pPr>
              <w:spacing w:before="120" w:after="120" w:line="240" w:lineRule="auto"/>
              <w:rPr>
                <w:rFonts w:asciiTheme="minorHAnsi" w:hAnsiTheme="minorHAnsi" w:cs="Calibri"/>
                <w:color w:val="000000"/>
                <w:sz w:val="16"/>
                <w:szCs w:val="16"/>
                <w:lang w:val="el-GR"/>
              </w:rPr>
            </w:pPr>
            <w:r w:rsidRPr="00486EC5">
              <w:rPr>
                <w:rFonts w:asciiTheme="minorHAnsi" w:hAnsiTheme="minorHAnsi" w:cs="Calibri"/>
                <w:sz w:val="16"/>
                <w:szCs w:val="16"/>
                <w:lang w:val="el-GR"/>
              </w:rPr>
              <w:t xml:space="preserve">2 - Έχει τεθεί σε εφαρμογή ένα στρατηγικό πλαίσιο πολιτικής για την ψηφιακή ανάπτυξη, ενδεχομένως, στο πλαίσιο της εθνικής στρατηγικής για έξυπνη εξειδίκευση, το οποίο περιέχει: προϋπολογισμό και ιεράρχηση προτεραιοτήτων των δράσεων μέσω </w:t>
            </w:r>
            <w:r w:rsidRPr="00486EC5">
              <w:rPr>
                <w:rFonts w:asciiTheme="minorHAnsi" w:hAnsiTheme="minorHAnsi" w:cs="Calibri"/>
                <w:sz w:val="16"/>
                <w:szCs w:val="16"/>
              </w:rPr>
              <w:t>SWOT</w:t>
            </w:r>
            <w:r w:rsidRPr="00486EC5">
              <w:rPr>
                <w:rFonts w:asciiTheme="minorHAnsi" w:hAnsiTheme="minorHAnsi" w:cs="Calibri"/>
                <w:sz w:val="16"/>
                <w:szCs w:val="16"/>
                <w:lang w:val="el-GR"/>
              </w:rPr>
              <w:t xml:space="preserve"> ή παρόμοιας ανάλυσης σύμφωνα με τον Πίνακα Αποτελεσμάτων του Ψηφιακού Θεματολογίου για την Ευρώπη (</w:t>
            </w:r>
            <w:r w:rsidRPr="00486EC5">
              <w:rPr>
                <w:rFonts w:asciiTheme="minorHAnsi" w:hAnsiTheme="minorHAnsi" w:cs="Calibri"/>
                <w:sz w:val="16"/>
                <w:szCs w:val="16"/>
              </w:rPr>
              <w:t>Scoreboard</w:t>
            </w:r>
            <w:r w:rsidRPr="00486EC5">
              <w:rPr>
                <w:rFonts w:asciiTheme="minorHAnsi" w:hAnsiTheme="minorHAnsi" w:cs="Calibri"/>
                <w:sz w:val="16"/>
                <w:szCs w:val="16"/>
                <w:lang w:val="el-GR"/>
              </w:rPr>
              <w:t xml:space="preserve"> </w:t>
            </w:r>
            <w:r w:rsidRPr="00486EC5">
              <w:rPr>
                <w:rFonts w:asciiTheme="minorHAnsi" w:hAnsiTheme="minorHAnsi" w:cs="Calibri"/>
                <w:sz w:val="16"/>
                <w:szCs w:val="16"/>
              </w:rPr>
              <w:t>of</w:t>
            </w:r>
            <w:r w:rsidRPr="00486EC5">
              <w:rPr>
                <w:rFonts w:asciiTheme="minorHAnsi" w:hAnsiTheme="minorHAnsi" w:cs="Calibri"/>
                <w:sz w:val="16"/>
                <w:szCs w:val="16"/>
                <w:lang w:val="el-GR"/>
              </w:rPr>
              <w:t xml:space="preserve"> </w:t>
            </w:r>
            <w:r w:rsidRPr="00486EC5">
              <w:rPr>
                <w:rFonts w:asciiTheme="minorHAnsi" w:hAnsiTheme="minorHAnsi" w:cs="Calibri"/>
                <w:sz w:val="16"/>
                <w:szCs w:val="16"/>
              </w:rPr>
              <w:t>the</w:t>
            </w:r>
            <w:r w:rsidRPr="00486EC5">
              <w:rPr>
                <w:rFonts w:asciiTheme="minorHAnsi" w:hAnsiTheme="minorHAnsi" w:cs="Calibri"/>
                <w:sz w:val="16"/>
                <w:szCs w:val="16"/>
                <w:lang w:val="el-GR"/>
              </w:rPr>
              <w:t xml:space="preserve"> </w:t>
            </w:r>
            <w:r w:rsidRPr="00486EC5">
              <w:rPr>
                <w:rFonts w:asciiTheme="minorHAnsi" w:hAnsiTheme="minorHAnsi" w:cs="Calibri"/>
                <w:sz w:val="16"/>
                <w:szCs w:val="16"/>
              </w:rPr>
              <w:t>Digital</w:t>
            </w:r>
            <w:r w:rsidRPr="00486EC5">
              <w:rPr>
                <w:rFonts w:asciiTheme="minorHAnsi" w:hAnsiTheme="minorHAnsi" w:cs="Calibri"/>
                <w:sz w:val="16"/>
                <w:szCs w:val="16"/>
                <w:lang w:val="el-GR"/>
              </w:rPr>
              <w:t xml:space="preserve"> </w:t>
            </w:r>
            <w:r w:rsidRPr="00486EC5">
              <w:rPr>
                <w:rFonts w:asciiTheme="minorHAnsi" w:hAnsiTheme="minorHAnsi" w:cs="Calibri"/>
                <w:sz w:val="16"/>
                <w:szCs w:val="16"/>
              </w:rPr>
              <w:t>Agenda</w:t>
            </w:r>
            <w:r w:rsidRPr="00486EC5">
              <w:rPr>
                <w:rFonts w:asciiTheme="minorHAnsi" w:hAnsiTheme="minorHAnsi" w:cs="Calibri"/>
                <w:sz w:val="16"/>
                <w:szCs w:val="16"/>
                <w:lang w:val="el-GR"/>
              </w:rPr>
              <w:t xml:space="preserve"> </w:t>
            </w:r>
            <w:r w:rsidRPr="00486EC5">
              <w:rPr>
                <w:rFonts w:asciiTheme="minorHAnsi" w:hAnsiTheme="minorHAnsi" w:cs="Calibri"/>
                <w:sz w:val="16"/>
                <w:szCs w:val="16"/>
              </w:rPr>
              <w:t>for</w:t>
            </w:r>
            <w:r w:rsidRPr="00486EC5">
              <w:rPr>
                <w:rFonts w:asciiTheme="minorHAnsi" w:hAnsiTheme="minorHAnsi" w:cs="Calibri"/>
                <w:sz w:val="16"/>
                <w:szCs w:val="16"/>
                <w:lang w:val="el-GR"/>
              </w:rPr>
              <w:t xml:space="preserve"> </w:t>
            </w:r>
            <w:r w:rsidRPr="00486EC5">
              <w:rPr>
                <w:rFonts w:asciiTheme="minorHAnsi" w:hAnsiTheme="minorHAnsi" w:cs="Calibri"/>
                <w:sz w:val="16"/>
                <w:szCs w:val="16"/>
              </w:rPr>
              <w:t>Europe</w:t>
            </w:r>
            <w:r w:rsidRPr="00486EC5">
              <w:rPr>
                <w:rFonts w:asciiTheme="minorHAnsi" w:hAnsiTheme="minorHAnsi" w:cs="Calibri"/>
                <w:sz w:val="16"/>
                <w:szCs w:val="16"/>
                <w:lang w:val="el-GR"/>
              </w:rPr>
              <w:t>);</w:t>
            </w:r>
          </w:p>
        </w:tc>
        <w:tc>
          <w:tcPr>
            <w:tcW w:w="1190" w:type="pct"/>
            <w:shd w:val="clear" w:color="auto" w:fill="auto"/>
          </w:tcPr>
          <w:p w14:paraId="5F6E763E"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Δράση 1:</w:t>
            </w:r>
            <w:r w:rsidRPr="00486EC5">
              <w:rPr>
                <w:rFonts w:asciiTheme="minorHAnsi" w:hAnsiTheme="minorHAnsi" w:cs="Calibri"/>
                <w:b/>
                <w:sz w:val="16"/>
                <w:szCs w:val="16"/>
                <w:lang w:val="el-GR"/>
              </w:rPr>
              <w:t xml:space="preserve"> </w:t>
            </w:r>
            <w:r w:rsidRPr="00486EC5">
              <w:rPr>
                <w:rFonts w:asciiTheme="minorHAnsi" w:hAnsiTheme="minorHAnsi" w:cs="Calibri"/>
                <w:sz w:val="16"/>
                <w:szCs w:val="16"/>
                <w:lang w:val="el-GR"/>
              </w:rPr>
              <w:t>Θα ετοιμαστεί επιπρόσθετο έγγραφο το οποίο θα περιλαμβάνει τη μεθοδολογία/ ανάλυση που ακολουθήθηκε για να καταλήξουμε στους 6 στόχους της ψηφιακής στρατηγικής και στις συγκεκριμένες δράσεις καθώς και στην ιεράρχηση των στόχων και δράσεων.</w:t>
            </w:r>
          </w:p>
        </w:tc>
        <w:tc>
          <w:tcPr>
            <w:tcW w:w="375" w:type="pct"/>
            <w:shd w:val="clear" w:color="auto" w:fill="auto"/>
          </w:tcPr>
          <w:p w14:paraId="2BBB0C54"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30/01/2015</w:t>
            </w:r>
          </w:p>
        </w:tc>
        <w:tc>
          <w:tcPr>
            <w:tcW w:w="423" w:type="pct"/>
          </w:tcPr>
          <w:p w14:paraId="41D4CA42"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lang w:val="el-GR"/>
              </w:rPr>
            </w:pPr>
            <w:r w:rsidRPr="00486EC5">
              <w:rPr>
                <w:rFonts w:asciiTheme="minorHAnsi" w:hAnsiTheme="minorHAnsi" w:cs="Calibri"/>
                <w:sz w:val="16"/>
                <w:szCs w:val="16"/>
                <w:lang w:val="el-GR"/>
              </w:rPr>
              <w:t>Τμήμα Ηλεκτρονικών Επικοινωνιών, Υπουργείο Μεταφορών, Επικοινωνιών και Έργων</w:t>
            </w:r>
          </w:p>
        </w:tc>
        <w:tc>
          <w:tcPr>
            <w:tcW w:w="349" w:type="pct"/>
          </w:tcPr>
          <w:p w14:paraId="1B60145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ΟΧΙ</w:t>
            </w:r>
          </w:p>
        </w:tc>
        <w:tc>
          <w:tcPr>
            <w:tcW w:w="317" w:type="pct"/>
          </w:tcPr>
          <w:p w14:paraId="4FF99A6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35A48BB3"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02/04/2015</w:t>
            </w:r>
          </w:p>
        </w:tc>
        <w:tc>
          <w:tcPr>
            <w:tcW w:w="792" w:type="pct"/>
          </w:tcPr>
          <w:p w14:paraId="049033AA"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ετοιμασία του σχετικού εγγράφου στις 2/4/2015.</w:t>
            </w:r>
          </w:p>
          <w:p w14:paraId="2B1AA7DF"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15/9/15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(2015)3808225).</w:t>
            </w:r>
          </w:p>
        </w:tc>
      </w:tr>
      <w:tr w:rsidR="005C0158" w:rsidRPr="00486EC5" w14:paraId="796BF631" w14:textId="77777777" w:rsidTr="00486EC5">
        <w:trPr>
          <w:trHeight w:val="560"/>
          <w:jc w:val="center"/>
        </w:trPr>
        <w:tc>
          <w:tcPr>
            <w:tcW w:w="597" w:type="pct"/>
            <w:vMerge w:val="restart"/>
            <w:shd w:val="clear" w:color="auto" w:fill="auto"/>
          </w:tcPr>
          <w:p w14:paraId="763E1C05" w14:textId="77777777" w:rsidR="005C0158" w:rsidRPr="00486EC5" w:rsidRDefault="005C0158" w:rsidP="00486EC5">
            <w:pPr>
              <w:spacing w:before="120" w:after="120" w:line="240" w:lineRule="auto"/>
              <w:rPr>
                <w:rFonts w:asciiTheme="minorHAnsi" w:hAnsiTheme="minorHAnsi" w:cs="Calibri"/>
                <w:b/>
                <w:i/>
                <w:sz w:val="16"/>
                <w:szCs w:val="16"/>
                <w:lang w:val="el-GR"/>
              </w:rPr>
            </w:pPr>
            <w:bookmarkStart w:id="20" w:name="_Hlk482001707"/>
            <w:r w:rsidRPr="00486EC5">
              <w:rPr>
                <w:rFonts w:asciiTheme="minorHAnsi" w:hAnsiTheme="minorHAnsi" w:cs="Calibri"/>
                <w:b/>
                <w:i/>
                <w:sz w:val="16"/>
                <w:szCs w:val="16"/>
                <w:lang w:val="el-GR"/>
              </w:rPr>
              <w:lastRenderedPageBreak/>
              <w:t>2.2. Υποδομή Δικτύων Νέας Γενιάς (</w:t>
            </w:r>
            <w:r w:rsidRPr="00486EC5">
              <w:rPr>
                <w:rFonts w:asciiTheme="minorHAnsi" w:hAnsiTheme="minorHAnsi" w:cs="Calibri"/>
                <w:b/>
                <w:i/>
                <w:sz w:val="16"/>
                <w:szCs w:val="16"/>
              </w:rPr>
              <w:t>NGN</w:t>
            </w:r>
            <w:r w:rsidRPr="00486EC5">
              <w:rPr>
                <w:rFonts w:asciiTheme="minorHAnsi" w:hAnsiTheme="minorHAnsi" w:cs="Calibri"/>
                <w:b/>
                <w:i/>
                <w:sz w:val="16"/>
                <w:szCs w:val="16"/>
                <w:lang w:val="el-GR"/>
              </w:rPr>
              <w:t>):</w:t>
            </w:r>
          </w:p>
          <w:p w14:paraId="47C5EF51" w14:textId="77777777" w:rsidR="005C0158" w:rsidRPr="00486EC5" w:rsidRDefault="005C0158" w:rsidP="00486EC5">
            <w:pPr>
              <w:spacing w:line="240" w:lineRule="auto"/>
              <w:rPr>
                <w:rFonts w:asciiTheme="minorHAnsi" w:hAnsiTheme="minorHAnsi" w:cs="Calibri"/>
                <w:b/>
                <w:color w:val="000000"/>
                <w:sz w:val="16"/>
                <w:szCs w:val="16"/>
                <w:lang w:val="el-GR"/>
              </w:rPr>
            </w:pPr>
            <w:r w:rsidRPr="00486EC5">
              <w:rPr>
                <w:rFonts w:asciiTheme="minorHAnsi" w:hAnsiTheme="minorHAnsi" w:cs="Calibri"/>
                <w:sz w:val="16"/>
                <w:szCs w:val="16"/>
                <w:lang w:val="el-GR"/>
              </w:rPr>
              <w:t xml:space="preserve">Η ύπαρξη εθνικών σχεδίων </w:t>
            </w:r>
            <w:r w:rsidRPr="00486EC5">
              <w:rPr>
                <w:rFonts w:asciiTheme="minorHAnsi" w:hAnsiTheme="minorHAnsi" w:cs="Calibri"/>
                <w:sz w:val="16"/>
                <w:szCs w:val="16"/>
              </w:rPr>
              <w:t>NGN</w:t>
            </w:r>
            <w:r w:rsidRPr="00486EC5">
              <w:rPr>
                <w:rFonts w:asciiTheme="minorHAnsi" w:hAnsiTheme="minorHAnsi" w:cs="Calibri"/>
                <w:sz w:val="16"/>
                <w:szCs w:val="16"/>
                <w:lang w:val="el-GR"/>
              </w:rPr>
              <w:t xml:space="preserve"> που λαμβάνουν υπόψη τις περιφερειακές δράσεις για την επίτευξη των στόχων της ΕΕ για πρόσβαση υψηλής ταχύτητας στο διαδίκτυο, με έμφαση σε τομείς όπου η αγορά δεν μπορεί να παρέχει ανοικτή υποδομή με προσιτό κόστος και σε ποιότητα, σύμφωνα με τους κανόνες ανταγωνισμού και κρατικών ενισχύσεων της ΕΕ, και παρέχουν προσβάσιμες υπηρεσίες στις ευάλωτες ομάδες.</w:t>
            </w:r>
          </w:p>
        </w:tc>
        <w:tc>
          <w:tcPr>
            <w:tcW w:w="599" w:type="pct"/>
            <w:shd w:val="clear" w:color="auto" w:fill="auto"/>
          </w:tcPr>
          <w:p w14:paraId="0F7AC7E0"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1 - Έχει τεθεί σε εφαρμογή ένα εθνικό ή περιφερειακό σχέδιο </w:t>
            </w:r>
            <w:r w:rsidRPr="00486EC5">
              <w:rPr>
                <w:rFonts w:asciiTheme="minorHAnsi" w:hAnsiTheme="minorHAnsi" w:cs="Calibri"/>
                <w:i/>
                <w:sz w:val="16"/>
                <w:szCs w:val="16"/>
              </w:rPr>
              <w:t>NGN</w:t>
            </w:r>
            <w:r w:rsidRPr="00486EC5">
              <w:rPr>
                <w:rFonts w:asciiTheme="minorHAnsi" w:hAnsiTheme="minorHAnsi" w:cs="Calibri"/>
                <w:sz w:val="16"/>
                <w:szCs w:val="16"/>
                <w:lang w:val="el-GR"/>
              </w:rPr>
              <w:t>, το οποίο περιέχει:</w:t>
            </w:r>
          </w:p>
        </w:tc>
        <w:tc>
          <w:tcPr>
            <w:tcW w:w="1190" w:type="pct"/>
            <w:vMerge w:val="restart"/>
            <w:shd w:val="clear" w:color="auto" w:fill="auto"/>
          </w:tcPr>
          <w:p w14:paraId="7452A0DB"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Ολοκλήρωση προσχεδίου του Εθνικού Ευρυζωνικού Πλάνου</w:t>
            </w:r>
          </w:p>
          <w:p w14:paraId="20F1F283" w14:textId="77777777" w:rsidR="005C0158" w:rsidRPr="00486EC5" w:rsidRDefault="005C0158" w:rsidP="004003A3">
            <w:pPr>
              <w:snapToGrid w:val="0"/>
              <w:spacing w:after="0" w:line="240" w:lineRule="auto"/>
              <w:rPr>
                <w:rFonts w:asciiTheme="minorHAnsi" w:hAnsiTheme="minorHAnsi" w:cs="Calibri"/>
                <w:sz w:val="16"/>
                <w:szCs w:val="16"/>
                <w:lang w:val="el-GR"/>
              </w:rPr>
            </w:pPr>
          </w:p>
          <w:p w14:paraId="7CF1564A" w14:textId="77777777" w:rsidR="005C0158" w:rsidRPr="00486EC5" w:rsidRDefault="005C0158" w:rsidP="004003A3">
            <w:pPr>
              <w:snapToGrid w:val="0"/>
              <w:spacing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Ολοκλήρωση δημόσιας διαβούλευσης του Εθνικού Ευρυζωνικού Πλάνου</w:t>
            </w:r>
          </w:p>
          <w:p w14:paraId="518858C1" w14:textId="77777777" w:rsidR="005C0158" w:rsidRPr="00486EC5" w:rsidRDefault="005C0158" w:rsidP="004003A3">
            <w:pPr>
              <w:snapToGrid w:val="0"/>
              <w:spacing w:after="0" w:line="240" w:lineRule="auto"/>
              <w:rPr>
                <w:rFonts w:asciiTheme="minorHAnsi" w:hAnsiTheme="minorHAnsi" w:cs="Calibri"/>
                <w:sz w:val="16"/>
                <w:szCs w:val="16"/>
                <w:lang w:val="el-GR"/>
              </w:rPr>
            </w:pPr>
          </w:p>
          <w:p w14:paraId="76C1D853" w14:textId="77777777" w:rsidR="005C0158" w:rsidRPr="00486EC5" w:rsidRDefault="005C0158" w:rsidP="004003A3">
            <w:pPr>
              <w:snapToGrid w:val="0"/>
              <w:spacing w:after="0" w:line="240" w:lineRule="auto"/>
              <w:rPr>
                <w:rFonts w:asciiTheme="minorHAnsi" w:hAnsiTheme="minorHAnsi" w:cs="Calibri"/>
                <w:color w:val="000000"/>
                <w:sz w:val="16"/>
                <w:szCs w:val="16"/>
                <w:lang w:val="el-GR"/>
              </w:rPr>
            </w:pPr>
            <w:r w:rsidRPr="00486EC5">
              <w:rPr>
                <w:rFonts w:asciiTheme="minorHAnsi" w:hAnsiTheme="minorHAnsi" w:cs="Calibri"/>
                <w:sz w:val="16"/>
                <w:szCs w:val="16"/>
                <w:lang w:val="el-GR"/>
              </w:rPr>
              <w:t xml:space="preserve">Ολοκλήρωση Εθνικού Ευρυζωνικού Πλάνου και έγκρισή του από τον Υπουργό Μεταφορών, Επικοινωνιών και Έργων </w:t>
            </w:r>
          </w:p>
          <w:p w14:paraId="0594DDCB" w14:textId="77777777" w:rsidR="005C0158" w:rsidRPr="00486EC5" w:rsidRDefault="005C0158" w:rsidP="004003A3">
            <w:pPr>
              <w:snapToGrid w:val="0"/>
              <w:spacing w:after="0" w:line="240" w:lineRule="auto"/>
              <w:rPr>
                <w:rFonts w:asciiTheme="minorHAnsi" w:hAnsiTheme="minorHAnsi" w:cs="Calibri"/>
                <w:color w:val="000000"/>
                <w:sz w:val="16"/>
                <w:szCs w:val="16"/>
                <w:lang w:val="el-GR"/>
              </w:rPr>
            </w:pPr>
          </w:p>
        </w:tc>
        <w:tc>
          <w:tcPr>
            <w:tcW w:w="375" w:type="pct"/>
            <w:vMerge w:val="restart"/>
            <w:shd w:val="clear" w:color="auto" w:fill="auto"/>
          </w:tcPr>
          <w:p w14:paraId="3B0D6F1E"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31/01/2015</w:t>
            </w:r>
          </w:p>
          <w:p w14:paraId="0D6C987C"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1A228492" w14:textId="77777777" w:rsidR="005C0158" w:rsidRPr="00486EC5" w:rsidRDefault="005C0158" w:rsidP="004003A3">
            <w:pPr>
              <w:snapToGrid w:val="0"/>
              <w:spacing w:after="0" w:line="240" w:lineRule="auto"/>
              <w:jc w:val="center"/>
              <w:rPr>
                <w:rFonts w:asciiTheme="minorHAnsi" w:hAnsiTheme="minorHAnsi" w:cs="Calibri"/>
                <w:color w:val="000000"/>
                <w:sz w:val="16"/>
                <w:szCs w:val="16"/>
              </w:rPr>
            </w:pPr>
          </w:p>
          <w:p w14:paraId="39449F5E" w14:textId="77777777" w:rsidR="005C0158" w:rsidRPr="00486EC5" w:rsidRDefault="005C0158" w:rsidP="004003A3">
            <w:pPr>
              <w:snapToGrid w:val="0"/>
              <w:spacing w:after="0" w:line="240" w:lineRule="auto"/>
              <w:jc w:val="center"/>
              <w:rPr>
                <w:rFonts w:asciiTheme="minorHAnsi" w:hAnsiTheme="minorHAnsi" w:cs="Calibri"/>
                <w:color w:val="000000"/>
                <w:sz w:val="16"/>
                <w:szCs w:val="16"/>
              </w:rPr>
            </w:pPr>
            <w:r w:rsidRPr="00486EC5">
              <w:rPr>
                <w:rFonts w:asciiTheme="minorHAnsi" w:hAnsiTheme="minorHAnsi" w:cs="Calibri"/>
                <w:color w:val="000000"/>
                <w:sz w:val="16"/>
                <w:szCs w:val="16"/>
              </w:rPr>
              <w:t>31/07/2015</w:t>
            </w:r>
          </w:p>
          <w:p w14:paraId="18A2BA2F" w14:textId="77777777" w:rsidR="005C0158" w:rsidRPr="00486EC5" w:rsidRDefault="005C0158" w:rsidP="004003A3">
            <w:pPr>
              <w:snapToGrid w:val="0"/>
              <w:spacing w:after="0" w:line="240" w:lineRule="auto"/>
              <w:jc w:val="center"/>
              <w:rPr>
                <w:rFonts w:asciiTheme="minorHAnsi" w:hAnsiTheme="minorHAnsi" w:cs="Calibri"/>
                <w:color w:val="000000"/>
                <w:sz w:val="16"/>
                <w:szCs w:val="16"/>
              </w:rPr>
            </w:pPr>
          </w:p>
          <w:p w14:paraId="35CD592B" w14:textId="77777777" w:rsidR="005C0158" w:rsidRPr="00486EC5" w:rsidRDefault="005C0158" w:rsidP="004003A3">
            <w:pPr>
              <w:snapToGrid w:val="0"/>
              <w:spacing w:after="0" w:line="240" w:lineRule="auto"/>
              <w:jc w:val="center"/>
              <w:rPr>
                <w:rFonts w:asciiTheme="minorHAnsi" w:hAnsiTheme="minorHAnsi" w:cs="Calibri"/>
                <w:color w:val="000000"/>
                <w:sz w:val="16"/>
                <w:szCs w:val="16"/>
              </w:rPr>
            </w:pPr>
          </w:p>
          <w:p w14:paraId="21E29406" w14:textId="77777777" w:rsidR="005C0158" w:rsidRPr="00486EC5" w:rsidRDefault="005C0158" w:rsidP="004003A3">
            <w:pPr>
              <w:snapToGrid w:val="0"/>
              <w:spacing w:after="0" w:line="240" w:lineRule="auto"/>
              <w:jc w:val="center"/>
              <w:rPr>
                <w:rFonts w:asciiTheme="minorHAnsi" w:hAnsiTheme="minorHAnsi" w:cs="Calibri"/>
                <w:color w:val="000000"/>
                <w:sz w:val="16"/>
                <w:szCs w:val="16"/>
              </w:rPr>
            </w:pPr>
            <w:r w:rsidRPr="00486EC5">
              <w:rPr>
                <w:rFonts w:asciiTheme="minorHAnsi" w:hAnsiTheme="minorHAnsi" w:cs="Calibri"/>
                <w:color w:val="000000"/>
                <w:sz w:val="16"/>
                <w:szCs w:val="16"/>
              </w:rPr>
              <w:t>31/12/2015</w:t>
            </w:r>
          </w:p>
        </w:tc>
        <w:tc>
          <w:tcPr>
            <w:tcW w:w="423" w:type="pct"/>
            <w:vMerge w:val="restart"/>
          </w:tcPr>
          <w:p w14:paraId="0C557603"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lang w:val="el-GR"/>
              </w:rPr>
            </w:pPr>
            <w:r w:rsidRPr="00486EC5">
              <w:rPr>
                <w:rFonts w:asciiTheme="minorHAnsi" w:hAnsiTheme="minorHAnsi" w:cs="Calibri"/>
                <w:sz w:val="16"/>
                <w:szCs w:val="16"/>
                <w:lang w:val="el-GR"/>
              </w:rPr>
              <w:t>Τμήμα Ηλεκτρονικών Επικοινωνιών, Υπουργείο Μεταφορών, Επικοινωνιών και Έργων</w:t>
            </w:r>
          </w:p>
        </w:tc>
        <w:tc>
          <w:tcPr>
            <w:tcW w:w="349" w:type="pct"/>
          </w:tcPr>
          <w:p w14:paraId="459CFDAC"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ΟΧΙ</w:t>
            </w:r>
          </w:p>
        </w:tc>
        <w:tc>
          <w:tcPr>
            <w:tcW w:w="317" w:type="pct"/>
          </w:tcPr>
          <w:p w14:paraId="32BC8C3F"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vMerge w:val="restart"/>
          </w:tcPr>
          <w:p w14:paraId="065D21C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25/01/2016</w:t>
            </w:r>
          </w:p>
          <w:p w14:paraId="3DE5C7C7"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332DFA21"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05E19FDB" w14:textId="77777777" w:rsidR="005C0158" w:rsidRPr="00486EC5" w:rsidRDefault="005C0158" w:rsidP="004003A3">
            <w:pPr>
              <w:snapToGrid w:val="0"/>
              <w:spacing w:after="0" w:line="240" w:lineRule="auto"/>
              <w:jc w:val="center"/>
              <w:rPr>
                <w:rFonts w:asciiTheme="minorHAnsi" w:hAnsiTheme="minorHAnsi" w:cs="Calibri"/>
                <w:sz w:val="16"/>
                <w:szCs w:val="16"/>
              </w:rPr>
            </w:pPr>
            <w:r w:rsidRPr="00486EC5">
              <w:rPr>
                <w:rFonts w:asciiTheme="minorHAnsi" w:hAnsiTheme="minorHAnsi" w:cs="Calibri"/>
                <w:sz w:val="16"/>
                <w:szCs w:val="16"/>
              </w:rPr>
              <w:t>26/02/2016</w:t>
            </w:r>
          </w:p>
          <w:p w14:paraId="3BBE3C32"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0C182761"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15AB6638" w14:textId="77777777" w:rsidR="005C0158" w:rsidRPr="00486EC5" w:rsidRDefault="005C0158" w:rsidP="004003A3">
            <w:pPr>
              <w:snapToGrid w:val="0"/>
              <w:spacing w:after="0" w:line="240" w:lineRule="auto"/>
              <w:jc w:val="center"/>
              <w:rPr>
                <w:rFonts w:asciiTheme="minorHAnsi" w:hAnsiTheme="minorHAnsi" w:cs="Calibri"/>
                <w:sz w:val="16"/>
                <w:szCs w:val="16"/>
              </w:rPr>
            </w:pPr>
            <w:r w:rsidRPr="00486EC5">
              <w:rPr>
                <w:rFonts w:asciiTheme="minorHAnsi" w:hAnsiTheme="minorHAnsi" w:cs="Calibri"/>
                <w:sz w:val="16"/>
                <w:szCs w:val="16"/>
              </w:rPr>
              <w:t>12/05/2016</w:t>
            </w:r>
          </w:p>
        </w:tc>
        <w:tc>
          <w:tcPr>
            <w:tcW w:w="792" w:type="pct"/>
            <w:vMerge w:val="restart"/>
          </w:tcPr>
          <w:p w14:paraId="6B7D2BBD"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Τα κριτήρια εκπληρώθηκαν με την έγκριση του Εθνικού Ευρυζωνικού Πλάνου από τον Υπουργό Μεταφορών, Επικοινωνιών και Έργων στις 12/5/2016.</w:t>
            </w:r>
          </w:p>
          <w:p w14:paraId="3C03D0BF"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23/9/16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(2016)5521976).</w:t>
            </w:r>
          </w:p>
        </w:tc>
      </w:tr>
      <w:bookmarkEnd w:id="20"/>
      <w:tr w:rsidR="005C0158" w:rsidRPr="00486EC5" w14:paraId="4232D211" w14:textId="77777777" w:rsidTr="004003A3">
        <w:trPr>
          <w:trHeight w:val="560"/>
          <w:jc w:val="center"/>
        </w:trPr>
        <w:tc>
          <w:tcPr>
            <w:tcW w:w="597" w:type="pct"/>
            <w:vMerge/>
            <w:shd w:val="clear" w:color="auto" w:fill="auto"/>
          </w:tcPr>
          <w:p w14:paraId="3DD0A897" w14:textId="77777777" w:rsidR="005C0158" w:rsidRPr="00486EC5" w:rsidRDefault="005C0158" w:rsidP="004003A3">
            <w:pPr>
              <w:spacing w:before="120" w:after="120" w:line="240" w:lineRule="auto"/>
              <w:rPr>
                <w:rFonts w:asciiTheme="minorHAnsi" w:hAnsiTheme="minorHAnsi" w:cs="Calibri"/>
                <w:b/>
                <w:i/>
                <w:sz w:val="16"/>
                <w:szCs w:val="16"/>
                <w:lang w:val="el-GR"/>
              </w:rPr>
            </w:pPr>
          </w:p>
        </w:tc>
        <w:tc>
          <w:tcPr>
            <w:tcW w:w="599" w:type="pct"/>
            <w:shd w:val="clear" w:color="auto" w:fill="auto"/>
          </w:tcPr>
          <w:p w14:paraId="08E08D30" w14:textId="77777777" w:rsidR="005C0158" w:rsidRPr="00486EC5" w:rsidRDefault="005C0158" w:rsidP="004003A3">
            <w:pPr>
              <w:spacing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2 - σχέδιο επενδύσεων υποδομής βάσει οικονομικής ανάλυσης, η οποία λαμβάνει υπόψη τις υφιστάμενες / υπάρχουσες ιδιωτικές και δημόσιες υποδομές και τις προγραμματιζόμενες  επενδύσεις;</w:t>
            </w:r>
          </w:p>
        </w:tc>
        <w:tc>
          <w:tcPr>
            <w:tcW w:w="1190" w:type="pct"/>
            <w:vMerge/>
            <w:shd w:val="clear" w:color="auto" w:fill="auto"/>
          </w:tcPr>
          <w:p w14:paraId="2995263B" w14:textId="77777777" w:rsidR="005C0158" w:rsidRPr="00486EC5" w:rsidRDefault="005C0158" w:rsidP="004003A3">
            <w:pPr>
              <w:tabs>
                <w:tab w:val="left" w:pos="317"/>
              </w:tabs>
              <w:spacing w:line="240" w:lineRule="auto"/>
              <w:ind w:left="34"/>
              <w:contextualSpacing/>
              <w:rPr>
                <w:rFonts w:asciiTheme="minorHAnsi" w:hAnsiTheme="minorHAnsi" w:cs="Calibri"/>
                <w:sz w:val="16"/>
                <w:szCs w:val="16"/>
                <w:u w:val="single"/>
                <w:lang w:val="el-GR"/>
              </w:rPr>
            </w:pPr>
          </w:p>
        </w:tc>
        <w:tc>
          <w:tcPr>
            <w:tcW w:w="375" w:type="pct"/>
            <w:vMerge/>
            <w:shd w:val="clear" w:color="auto" w:fill="auto"/>
          </w:tcPr>
          <w:p w14:paraId="59E87D53" w14:textId="77777777" w:rsidR="005C0158" w:rsidRPr="00486EC5" w:rsidRDefault="005C0158" w:rsidP="004003A3">
            <w:pPr>
              <w:snapToGrid w:val="0"/>
              <w:spacing w:before="120" w:after="120"/>
              <w:jc w:val="center"/>
              <w:rPr>
                <w:rFonts w:asciiTheme="minorHAnsi" w:hAnsiTheme="minorHAnsi" w:cs="Calibri"/>
                <w:sz w:val="16"/>
                <w:szCs w:val="16"/>
                <w:lang w:val="el-GR"/>
              </w:rPr>
            </w:pPr>
          </w:p>
        </w:tc>
        <w:tc>
          <w:tcPr>
            <w:tcW w:w="423" w:type="pct"/>
            <w:vMerge/>
          </w:tcPr>
          <w:p w14:paraId="471CB577" w14:textId="77777777" w:rsidR="005C0158" w:rsidRPr="00486EC5" w:rsidRDefault="005C0158" w:rsidP="004003A3">
            <w:pPr>
              <w:snapToGrid w:val="0"/>
              <w:spacing w:before="120" w:after="120"/>
              <w:jc w:val="center"/>
              <w:rPr>
                <w:rFonts w:asciiTheme="minorHAnsi" w:hAnsiTheme="minorHAnsi" w:cs="Calibri"/>
                <w:sz w:val="16"/>
                <w:szCs w:val="16"/>
                <w:highlight w:val="yellow"/>
                <w:lang w:val="el-GR"/>
              </w:rPr>
            </w:pPr>
          </w:p>
        </w:tc>
        <w:tc>
          <w:tcPr>
            <w:tcW w:w="349" w:type="pct"/>
          </w:tcPr>
          <w:p w14:paraId="336A67AE"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ΟΧΙ</w:t>
            </w:r>
          </w:p>
        </w:tc>
        <w:tc>
          <w:tcPr>
            <w:tcW w:w="317" w:type="pct"/>
          </w:tcPr>
          <w:p w14:paraId="141842B3"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vMerge/>
          </w:tcPr>
          <w:p w14:paraId="01C38142" w14:textId="77777777" w:rsidR="005C0158" w:rsidRPr="00486EC5" w:rsidRDefault="005C0158" w:rsidP="004003A3">
            <w:pPr>
              <w:snapToGrid w:val="0"/>
              <w:spacing w:before="120" w:after="120"/>
              <w:jc w:val="center"/>
              <w:rPr>
                <w:rFonts w:asciiTheme="minorHAnsi" w:hAnsiTheme="minorHAnsi" w:cs="Calibri"/>
                <w:sz w:val="16"/>
                <w:szCs w:val="16"/>
                <w:highlight w:val="yellow"/>
              </w:rPr>
            </w:pPr>
          </w:p>
        </w:tc>
        <w:tc>
          <w:tcPr>
            <w:tcW w:w="792" w:type="pct"/>
            <w:vMerge/>
          </w:tcPr>
          <w:p w14:paraId="4442653E" w14:textId="77777777" w:rsidR="005C0158" w:rsidRPr="00486EC5" w:rsidRDefault="005C0158" w:rsidP="004003A3">
            <w:pPr>
              <w:snapToGrid w:val="0"/>
              <w:spacing w:before="120" w:after="120"/>
              <w:rPr>
                <w:rFonts w:asciiTheme="minorHAnsi" w:hAnsiTheme="minorHAnsi" w:cs="Calibri"/>
                <w:sz w:val="16"/>
                <w:szCs w:val="16"/>
                <w:highlight w:val="yellow"/>
              </w:rPr>
            </w:pPr>
          </w:p>
        </w:tc>
      </w:tr>
      <w:tr w:rsidR="005C0158" w:rsidRPr="00486EC5" w14:paraId="26832CEA" w14:textId="77777777" w:rsidTr="004003A3">
        <w:trPr>
          <w:trHeight w:val="560"/>
          <w:jc w:val="center"/>
        </w:trPr>
        <w:tc>
          <w:tcPr>
            <w:tcW w:w="597" w:type="pct"/>
            <w:vMerge/>
            <w:shd w:val="clear" w:color="auto" w:fill="auto"/>
          </w:tcPr>
          <w:p w14:paraId="32B1BF27" w14:textId="77777777" w:rsidR="005C0158" w:rsidRPr="00486EC5" w:rsidRDefault="005C0158" w:rsidP="004003A3">
            <w:pPr>
              <w:spacing w:before="120" w:after="120" w:line="240" w:lineRule="auto"/>
              <w:rPr>
                <w:rFonts w:asciiTheme="minorHAnsi" w:hAnsiTheme="minorHAnsi" w:cs="Calibri"/>
                <w:b/>
                <w:i/>
                <w:sz w:val="16"/>
                <w:szCs w:val="16"/>
              </w:rPr>
            </w:pPr>
          </w:p>
        </w:tc>
        <w:tc>
          <w:tcPr>
            <w:tcW w:w="599" w:type="pct"/>
            <w:shd w:val="clear" w:color="auto" w:fill="auto"/>
          </w:tcPr>
          <w:p w14:paraId="67FF0100"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3 - Πρότυπα βιώσιμων επενδύσεων που ενισχύουν τον ανταγωνισμό και παρέχουν πρόσβαση σε ανοικτές, οικονομικά προσιτές, υψηλής ποιότητας και με καλύτερες προοπτικές (μειωμένου επιχειρηματικού κινδύνου) υποδομές και υπηρεσίες;</w:t>
            </w:r>
          </w:p>
        </w:tc>
        <w:tc>
          <w:tcPr>
            <w:tcW w:w="1190" w:type="pct"/>
            <w:vMerge/>
            <w:shd w:val="clear" w:color="auto" w:fill="auto"/>
          </w:tcPr>
          <w:p w14:paraId="3CD641EE" w14:textId="77777777" w:rsidR="005C0158" w:rsidRPr="00486EC5" w:rsidRDefault="005C0158" w:rsidP="004003A3">
            <w:pPr>
              <w:tabs>
                <w:tab w:val="left" w:pos="317"/>
              </w:tabs>
              <w:spacing w:line="240" w:lineRule="auto"/>
              <w:ind w:left="34"/>
              <w:contextualSpacing/>
              <w:rPr>
                <w:rFonts w:asciiTheme="minorHAnsi" w:hAnsiTheme="minorHAnsi" w:cs="Calibri"/>
                <w:sz w:val="16"/>
                <w:szCs w:val="16"/>
                <w:u w:val="single"/>
                <w:lang w:val="el-GR"/>
              </w:rPr>
            </w:pPr>
          </w:p>
        </w:tc>
        <w:tc>
          <w:tcPr>
            <w:tcW w:w="375" w:type="pct"/>
            <w:vMerge/>
            <w:shd w:val="clear" w:color="auto" w:fill="auto"/>
          </w:tcPr>
          <w:p w14:paraId="02AC14A4" w14:textId="77777777" w:rsidR="005C0158" w:rsidRPr="00486EC5" w:rsidRDefault="005C0158" w:rsidP="004003A3">
            <w:pPr>
              <w:snapToGrid w:val="0"/>
              <w:spacing w:before="120" w:after="120"/>
              <w:jc w:val="center"/>
              <w:rPr>
                <w:rFonts w:asciiTheme="minorHAnsi" w:hAnsiTheme="minorHAnsi" w:cs="Calibri"/>
                <w:sz w:val="16"/>
                <w:szCs w:val="16"/>
                <w:lang w:val="el-GR"/>
              </w:rPr>
            </w:pPr>
          </w:p>
        </w:tc>
        <w:tc>
          <w:tcPr>
            <w:tcW w:w="423" w:type="pct"/>
            <w:vMerge/>
          </w:tcPr>
          <w:p w14:paraId="1EA08E81" w14:textId="77777777" w:rsidR="005C0158" w:rsidRPr="00486EC5" w:rsidRDefault="005C0158" w:rsidP="004003A3">
            <w:pPr>
              <w:snapToGrid w:val="0"/>
              <w:spacing w:before="120" w:after="120"/>
              <w:jc w:val="center"/>
              <w:rPr>
                <w:rFonts w:asciiTheme="minorHAnsi" w:hAnsiTheme="minorHAnsi" w:cs="Calibri"/>
                <w:sz w:val="16"/>
                <w:szCs w:val="16"/>
                <w:highlight w:val="yellow"/>
                <w:lang w:val="el-GR"/>
              </w:rPr>
            </w:pPr>
          </w:p>
        </w:tc>
        <w:tc>
          <w:tcPr>
            <w:tcW w:w="349" w:type="pct"/>
          </w:tcPr>
          <w:p w14:paraId="1087A3D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ΟΧΙ</w:t>
            </w:r>
          </w:p>
        </w:tc>
        <w:tc>
          <w:tcPr>
            <w:tcW w:w="317" w:type="pct"/>
          </w:tcPr>
          <w:p w14:paraId="3EA42ED7"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vMerge/>
          </w:tcPr>
          <w:p w14:paraId="3BA5C480" w14:textId="77777777" w:rsidR="005C0158" w:rsidRPr="00486EC5" w:rsidRDefault="005C0158" w:rsidP="004003A3">
            <w:pPr>
              <w:snapToGrid w:val="0"/>
              <w:spacing w:before="120" w:after="120"/>
              <w:jc w:val="center"/>
              <w:rPr>
                <w:rFonts w:asciiTheme="minorHAnsi" w:hAnsiTheme="minorHAnsi" w:cs="Calibri"/>
                <w:sz w:val="16"/>
                <w:szCs w:val="16"/>
                <w:highlight w:val="yellow"/>
              </w:rPr>
            </w:pPr>
          </w:p>
        </w:tc>
        <w:tc>
          <w:tcPr>
            <w:tcW w:w="792" w:type="pct"/>
            <w:vMerge/>
          </w:tcPr>
          <w:p w14:paraId="61702688" w14:textId="77777777" w:rsidR="005C0158" w:rsidRPr="00486EC5" w:rsidRDefault="005C0158" w:rsidP="004003A3">
            <w:pPr>
              <w:snapToGrid w:val="0"/>
              <w:spacing w:before="120" w:after="120"/>
              <w:rPr>
                <w:rFonts w:asciiTheme="minorHAnsi" w:hAnsiTheme="minorHAnsi" w:cs="Calibri"/>
                <w:sz w:val="16"/>
                <w:szCs w:val="16"/>
                <w:highlight w:val="yellow"/>
              </w:rPr>
            </w:pPr>
          </w:p>
        </w:tc>
      </w:tr>
      <w:tr w:rsidR="005C0158" w:rsidRPr="00486EC5" w14:paraId="740A6199" w14:textId="77777777" w:rsidTr="004003A3">
        <w:trPr>
          <w:trHeight w:val="560"/>
          <w:jc w:val="center"/>
        </w:trPr>
        <w:tc>
          <w:tcPr>
            <w:tcW w:w="597" w:type="pct"/>
            <w:vMerge/>
            <w:shd w:val="clear" w:color="auto" w:fill="auto"/>
          </w:tcPr>
          <w:p w14:paraId="115ECA01" w14:textId="77777777" w:rsidR="005C0158" w:rsidRPr="00486EC5" w:rsidRDefault="005C0158" w:rsidP="004003A3">
            <w:pPr>
              <w:spacing w:before="120" w:after="120" w:line="240" w:lineRule="auto"/>
              <w:rPr>
                <w:rFonts w:asciiTheme="minorHAnsi" w:hAnsiTheme="minorHAnsi" w:cs="Calibri"/>
                <w:b/>
                <w:i/>
                <w:sz w:val="16"/>
                <w:szCs w:val="16"/>
              </w:rPr>
            </w:pPr>
          </w:p>
        </w:tc>
        <w:tc>
          <w:tcPr>
            <w:tcW w:w="599" w:type="pct"/>
            <w:shd w:val="clear" w:color="auto" w:fill="auto"/>
          </w:tcPr>
          <w:p w14:paraId="7C78364A"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4 - μέτρα για ενθάρρυνση ιδιωτικών επενδύσεων.</w:t>
            </w:r>
          </w:p>
        </w:tc>
        <w:tc>
          <w:tcPr>
            <w:tcW w:w="1190" w:type="pct"/>
            <w:vMerge/>
            <w:shd w:val="clear" w:color="auto" w:fill="auto"/>
          </w:tcPr>
          <w:p w14:paraId="2AC7C259" w14:textId="77777777" w:rsidR="005C0158" w:rsidRPr="00486EC5" w:rsidRDefault="005C0158" w:rsidP="004003A3">
            <w:pPr>
              <w:tabs>
                <w:tab w:val="left" w:pos="317"/>
              </w:tabs>
              <w:spacing w:line="240" w:lineRule="auto"/>
              <w:ind w:left="34"/>
              <w:contextualSpacing/>
              <w:rPr>
                <w:rFonts w:asciiTheme="minorHAnsi" w:hAnsiTheme="minorHAnsi" w:cs="Calibri"/>
                <w:sz w:val="16"/>
                <w:szCs w:val="16"/>
                <w:u w:val="single"/>
                <w:lang w:val="el-GR"/>
              </w:rPr>
            </w:pPr>
          </w:p>
        </w:tc>
        <w:tc>
          <w:tcPr>
            <w:tcW w:w="375" w:type="pct"/>
            <w:vMerge/>
            <w:shd w:val="clear" w:color="auto" w:fill="auto"/>
          </w:tcPr>
          <w:p w14:paraId="4C77A7C6" w14:textId="77777777" w:rsidR="005C0158" w:rsidRPr="00486EC5" w:rsidRDefault="005C0158" w:rsidP="004003A3">
            <w:pPr>
              <w:snapToGrid w:val="0"/>
              <w:spacing w:before="120" w:after="120"/>
              <w:jc w:val="center"/>
              <w:rPr>
                <w:rFonts w:asciiTheme="minorHAnsi" w:hAnsiTheme="minorHAnsi" w:cs="Calibri"/>
                <w:sz w:val="16"/>
                <w:szCs w:val="16"/>
                <w:lang w:val="el-GR"/>
              </w:rPr>
            </w:pPr>
          </w:p>
        </w:tc>
        <w:tc>
          <w:tcPr>
            <w:tcW w:w="423" w:type="pct"/>
            <w:vMerge/>
          </w:tcPr>
          <w:p w14:paraId="256C2FCC" w14:textId="77777777" w:rsidR="005C0158" w:rsidRPr="00486EC5" w:rsidRDefault="005C0158" w:rsidP="004003A3">
            <w:pPr>
              <w:snapToGrid w:val="0"/>
              <w:spacing w:before="120" w:after="120"/>
              <w:jc w:val="center"/>
              <w:rPr>
                <w:rFonts w:asciiTheme="minorHAnsi" w:hAnsiTheme="minorHAnsi" w:cs="Calibri"/>
                <w:sz w:val="16"/>
                <w:szCs w:val="16"/>
                <w:highlight w:val="yellow"/>
                <w:lang w:val="el-GR"/>
              </w:rPr>
            </w:pPr>
          </w:p>
        </w:tc>
        <w:tc>
          <w:tcPr>
            <w:tcW w:w="349" w:type="pct"/>
          </w:tcPr>
          <w:p w14:paraId="427268E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ΟΧΙ</w:t>
            </w:r>
          </w:p>
        </w:tc>
        <w:tc>
          <w:tcPr>
            <w:tcW w:w="317" w:type="pct"/>
          </w:tcPr>
          <w:p w14:paraId="3A2FE7F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vMerge/>
          </w:tcPr>
          <w:p w14:paraId="5AE304CF" w14:textId="77777777" w:rsidR="005C0158" w:rsidRPr="00486EC5" w:rsidRDefault="005C0158" w:rsidP="004003A3">
            <w:pPr>
              <w:snapToGrid w:val="0"/>
              <w:spacing w:before="120" w:after="120"/>
              <w:jc w:val="center"/>
              <w:rPr>
                <w:rFonts w:asciiTheme="minorHAnsi" w:hAnsiTheme="minorHAnsi" w:cs="Calibri"/>
                <w:sz w:val="16"/>
                <w:szCs w:val="16"/>
                <w:highlight w:val="yellow"/>
              </w:rPr>
            </w:pPr>
          </w:p>
        </w:tc>
        <w:tc>
          <w:tcPr>
            <w:tcW w:w="792" w:type="pct"/>
            <w:vMerge/>
          </w:tcPr>
          <w:p w14:paraId="523C72BB" w14:textId="77777777" w:rsidR="005C0158" w:rsidRPr="00486EC5" w:rsidRDefault="005C0158" w:rsidP="004003A3">
            <w:pPr>
              <w:snapToGrid w:val="0"/>
              <w:spacing w:before="120" w:after="120"/>
              <w:rPr>
                <w:rFonts w:asciiTheme="minorHAnsi" w:hAnsiTheme="minorHAnsi" w:cs="Calibri"/>
                <w:sz w:val="16"/>
                <w:szCs w:val="16"/>
                <w:highlight w:val="yellow"/>
              </w:rPr>
            </w:pPr>
          </w:p>
        </w:tc>
      </w:tr>
      <w:tr w:rsidR="005C0158" w:rsidRPr="00486EC5" w14:paraId="53FA08B5" w14:textId="77777777" w:rsidTr="004003A3">
        <w:trPr>
          <w:trHeight w:val="769"/>
          <w:jc w:val="center"/>
        </w:trPr>
        <w:tc>
          <w:tcPr>
            <w:tcW w:w="597" w:type="pct"/>
            <w:vMerge w:val="restart"/>
            <w:shd w:val="clear" w:color="auto" w:fill="auto"/>
          </w:tcPr>
          <w:p w14:paraId="4D4F197A" w14:textId="77777777" w:rsidR="005C0158" w:rsidRPr="00486EC5" w:rsidRDefault="005C0158" w:rsidP="004003A3">
            <w:pPr>
              <w:spacing w:before="120" w:after="0" w:line="240" w:lineRule="auto"/>
              <w:rPr>
                <w:rFonts w:asciiTheme="minorHAnsi" w:hAnsiTheme="minorHAnsi" w:cs="Calibri"/>
                <w:b/>
                <w:i/>
                <w:sz w:val="16"/>
                <w:szCs w:val="16"/>
                <w:lang w:val="el-GR"/>
              </w:rPr>
            </w:pPr>
            <w:r w:rsidRPr="00486EC5">
              <w:rPr>
                <w:rFonts w:asciiTheme="minorHAnsi" w:hAnsiTheme="minorHAnsi" w:cs="Calibri"/>
                <w:b/>
                <w:i/>
                <w:sz w:val="16"/>
                <w:szCs w:val="16"/>
                <w:lang w:val="el-GR"/>
              </w:rPr>
              <w:lastRenderedPageBreak/>
              <w:t>3.1. Επιχειρηματικότητα:</w:t>
            </w:r>
          </w:p>
          <w:p w14:paraId="6E913090" w14:textId="77777777" w:rsidR="005C0158" w:rsidRPr="00486EC5" w:rsidRDefault="005C0158" w:rsidP="004003A3">
            <w:pPr>
              <w:spacing w:before="120" w:after="0" w:line="240" w:lineRule="auto"/>
              <w:rPr>
                <w:rFonts w:asciiTheme="minorHAnsi" w:hAnsiTheme="minorHAnsi" w:cs="Calibri"/>
                <w:b/>
                <w:i/>
                <w:sz w:val="16"/>
                <w:szCs w:val="16"/>
                <w:lang w:val="el-GR"/>
              </w:rPr>
            </w:pPr>
            <w:r w:rsidRPr="00486EC5">
              <w:rPr>
                <w:rFonts w:asciiTheme="minorHAnsi" w:hAnsiTheme="minorHAnsi" w:cs="Calibri"/>
                <w:sz w:val="16"/>
                <w:szCs w:val="16"/>
                <w:lang w:val="el-GR"/>
              </w:rPr>
              <w:t xml:space="preserve">Έχουν υλοποιηθεί ειδικές δράσεις ώστε να στηριχθεί η  προώθηση της επιχειρηματικότητας, λαμβανομένης υπόψη της Πρωτοβουλίας </w:t>
            </w:r>
            <w:r w:rsidRPr="00486EC5">
              <w:rPr>
                <w:rFonts w:asciiTheme="minorHAnsi" w:hAnsiTheme="minorHAnsi" w:cs="Calibri"/>
                <w:sz w:val="16"/>
                <w:szCs w:val="16"/>
              </w:rPr>
              <w:t>SmallBusinessAct</w:t>
            </w:r>
            <w:r w:rsidRPr="00486EC5">
              <w:rPr>
                <w:rFonts w:asciiTheme="minorHAnsi" w:hAnsiTheme="minorHAnsi" w:cs="Calibri"/>
                <w:sz w:val="16"/>
                <w:szCs w:val="16"/>
                <w:lang w:val="el-GR"/>
              </w:rPr>
              <w:t xml:space="preserve"> (</w:t>
            </w:r>
            <w:r w:rsidRPr="00486EC5">
              <w:rPr>
                <w:rFonts w:asciiTheme="minorHAnsi" w:hAnsiTheme="minorHAnsi" w:cs="Calibri"/>
                <w:sz w:val="16"/>
                <w:szCs w:val="16"/>
              </w:rPr>
              <w:t>SBA</w:t>
            </w:r>
            <w:r w:rsidRPr="00486EC5">
              <w:rPr>
                <w:rFonts w:asciiTheme="minorHAnsi" w:hAnsiTheme="minorHAnsi" w:cs="Calibri"/>
                <w:sz w:val="16"/>
                <w:szCs w:val="16"/>
                <w:lang w:val="el-GR"/>
              </w:rPr>
              <w:t>).</w:t>
            </w:r>
          </w:p>
        </w:tc>
        <w:tc>
          <w:tcPr>
            <w:tcW w:w="599" w:type="pct"/>
            <w:vMerge w:val="restart"/>
            <w:shd w:val="clear" w:color="auto" w:fill="auto"/>
          </w:tcPr>
          <w:p w14:paraId="5300FCF2"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3 - έχει τεθεί σε εφαρμογή μηχανισμός για παρακολούθηση της υλοποίησης των μέτρων της </w:t>
            </w:r>
            <w:r w:rsidRPr="00486EC5">
              <w:rPr>
                <w:rFonts w:asciiTheme="minorHAnsi" w:hAnsiTheme="minorHAnsi" w:cs="Calibri"/>
                <w:sz w:val="16"/>
                <w:szCs w:val="16"/>
              </w:rPr>
              <w:t>SBA</w:t>
            </w:r>
            <w:r w:rsidRPr="00486EC5">
              <w:rPr>
                <w:rFonts w:asciiTheme="minorHAnsi" w:hAnsiTheme="minorHAnsi" w:cs="Calibri"/>
                <w:sz w:val="16"/>
                <w:szCs w:val="16"/>
                <w:lang w:val="el-GR"/>
              </w:rPr>
              <w:t>, που έχουν τεθεί σε εφαρμογή, και αξιολόγηση του αντίκτυπου στις ΜΜΕ.</w:t>
            </w:r>
          </w:p>
        </w:tc>
        <w:tc>
          <w:tcPr>
            <w:tcW w:w="1190" w:type="pct"/>
            <w:shd w:val="clear" w:color="auto" w:fill="auto"/>
          </w:tcPr>
          <w:p w14:paraId="67F4BAD6" w14:textId="77777777" w:rsidR="005C0158" w:rsidRPr="00486EC5" w:rsidRDefault="005C0158" w:rsidP="004003A3">
            <w:pPr>
              <w:spacing w:before="120" w:after="0" w:line="240" w:lineRule="auto"/>
              <w:ind w:left="34"/>
              <w:rPr>
                <w:rFonts w:asciiTheme="minorHAnsi" w:hAnsiTheme="minorHAnsi" w:cs="Calibri"/>
                <w:sz w:val="16"/>
                <w:szCs w:val="16"/>
                <w:lang w:val="el-GR"/>
              </w:rPr>
            </w:pPr>
            <w:r w:rsidRPr="00486EC5">
              <w:rPr>
                <w:rFonts w:asciiTheme="minorHAnsi" w:hAnsiTheme="minorHAnsi" w:cs="Calibri"/>
                <w:sz w:val="16"/>
                <w:szCs w:val="16"/>
                <w:lang w:val="el-GR"/>
              </w:rPr>
              <w:t xml:space="preserve">Ολοκλήρωση σχεδιασμού του </w:t>
            </w:r>
            <w:r w:rsidRPr="00486EC5">
              <w:rPr>
                <w:rFonts w:asciiTheme="minorHAnsi" w:hAnsiTheme="minorHAnsi" w:cs="Calibri"/>
                <w:sz w:val="16"/>
                <w:szCs w:val="16"/>
              </w:rPr>
              <w:t>SME</w:t>
            </w:r>
            <w:r w:rsidRPr="00486EC5">
              <w:rPr>
                <w:rFonts w:asciiTheme="minorHAnsi" w:hAnsiTheme="minorHAnsi" w:cs="Calibri"/>
                <w:sz w:val="16"/>
                <w:szCs w:val="16"/>
                <w:lang w:val="el-GR"/>
              </w:rPr>
              <w:t xml:space="preserve"> </w:t>
            </w:r>
            <w:r w:rsidRPr="00486EC5">
              <w:rPr>
                <w:rFonts w:asciiTheme="minorHAnsi" w:hAnsiTheme="minorHAnsi" w:cs="Calibri"/>
                <w:sz w:val="16"/>
                <w:szCs w:val="16"/>
              </w:rPr>
              <w:t>Test</w:t>
            </w:r>
            <w:r w:rsidRPr="00486EC5">
              <w:rPr>
                <w:rFonts w:asciiTheme="minorHAnsi" w:hAnsiTheme="minorHAnsi" w:cs="Calibri"/>
                <w:sz w:val="16"/>
                <w:szCs w:val="16"/>
                <w:lang w:val="el-GR"/>
              </w:rPr>
              <w:t>, στο πλαίσιο αναθεώρησης του ευρύτερου Μηχανισμού Ανάλυσης Αντικτύπου</w:t>
            </w:r>
          </w:p>
        </w:tc>
        <w:tc>
          <w:tcPr>
            <w:tcW w:w="375" w:type="pct"/>
            <w:shd w:val="clear" w:color="auto" w:fill="auto"/>
          </w:tcPr>
          <w:p w14:paraId="32B0854D"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31/12/2015</w:t>
            </w:r>
          </w:p>
        </w:tc>
        <w:tc>
          <w:tcPr>
            <w:tcW w:w="423" w:type="pct"/>
          </w:tcPr>
          <w:p w14:paraId="38F6A17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Μονάδα Διοικητικής Μεταρρύθμισης, Προεδρία</w:t>
            </w:r>
          </w:p>
        </w:tc>
        <w:tc>
          <w:tcPr>
            <w:tcW w:w="349" w:type="pct"/>
            <w:vMerge w:val="restart"/>
          </w:tcPr>
          <w:p w14:paraId="689DC299" w14:textId="77777777" w:rsidR="005C0158" w:rsidRPr="00486EC5" w:rsidRDefault="005C0158" w:rsidP="004003A3">
            <w:pPr>
              <w:snapToGrid w:val="0"/>
              <w:spacing w:before="120" w:after="0"/>
              <w:jc w:val="center"/>
              <w:rPr>
                <w:rFonts w:asciiTheme="minorHAnsi" w:hAnsiTheme="minorHAnsi" w:cs="Calibri"/>
                <w:sz w:val="16"/>
                <w:szCs w:val="16"/>
              </w:rPr>
            </w:pPr>
            <w:r w:rsidRPr="00486EC5">
              <w:rPr>
                <w:rFonts w:asciiTheme="minorHAnsi" w:hAnsiTheme="minorHAnsi" w:cs="Calibri"/>
                <w:sz w:val="16"/>
                <w:szCs w:val="16"/>
              </w:rPr>
              <w:t>ΟΧΙ</w:t>
            </w:r>
          </w:p>
        </w:tc>
        <w:tc>
          <w:tcPr>
            <w:tcW w:w="317" w:type="pct"/>
            <w:vMerge w:val="restart"/>
          </w:tcPr>
          <w:p w14:paraId="073F5C66" w14:textId="77777777" w:rsidR="005C0158" w:rsidRPr="00486EC5" w:rsidRDefault="005C0158" w:rsidP="004003A3">
            <w:pPr>
              <w:snapToGrid w:val="0"/>
              <w:spacing w:before="120" w:after="0"/>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24C86F5A" w14:textId="77777777" w:rsidR="005C0158" w:rsidRPr="00486EC5" w:rsidRDefault="005C0158" w:rsidP="004003A3">
            <w:pPr>
              <w:snapToGrid w:val="0"/>
              <w:spacing w:before="120" w:after="0"/>
              <w:jc w:val="center"/>
              <w:rPr>
                <w:rFonts w:asciiTheme="minorHAnsi" w:hAnsiTheme="minorHAnsi" w:cs="Calibri"/>
                <w:sz w:val="16"/>
                <w:szCs w:val="16"/>
              </w:rPr>
            </w:pPr>
            <w:r w:rsidRPr="00486EC5">
              <w:rPr>
                <w:rFonts w:asciiTheme="minorHAnsi" w:hAnsiTheme="minorHAnsi" w:cs="Calibri"/>
                <w:sz w:val="16"/>
                <w:szCs w:val="16"/>
              </w:rPr>
              <w:t>31/08/2016</w:t>
            </w:r>
          </w:p>
        </w:tc>
        <w:tc>
          <w:tcPr>
            <w:tcW w:w="792" w:type="pct"/>
            <w:vMerge w:val="restart"/>
          </w:tcPr>
          <w:p w14:paraId="38648F4F"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του Αναθεωρημένου Μηχανισμού Ανάλυσης Αντικτύπου από το Υπουργικό Συμβούλιο στις 5/9/2016.</w:t>
            </w:r>
          </w:p>
          <w:p w14:paraId="04DAABB6"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9/11/16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(2016)6326102).</w:t>
            </w:r>
          </w:p>
        </w:tc>
      </w:tr>
      <w:tr w:rsidR="005C0158" w:rsidRPr="00486EC5" w14:paraId="0C8BA29F" w14:textId="77777777" w:rsidTr="004003A3">
        <w:trPr>
          <w:trHeight w:val="560"/>
          <w:jc w:val="center"/>
        </w:trPr>
        <w:tc>
          <w:tcPr>
            <w:tcW w:w="597" w:type="pct"/>
            <w:vMerge/>
            <w:shd w:val="clear" w:color="auto" w:fill="auto"/>
          </w:tcPr>
          <w:p w14:paraId="3A2CEC4F"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vMerge/>
            <w:shd w:val="clear" w:color="auto" w:fill="auto"/>
          </w:tcPr>
          <w:p w14:paraId="68726365" w14:textId="77777777" w:rsidR="005C0158" w:rsidRPr="00486EC5" w:rsidRDefault="005C0158" w:rsidP="004003A3">
            <w:pPr>
              <w:spacing w:before="120" w:after="0" w:line="240" w:lineRule="auto"/>
              <w:rPr>
                <w:rFonts w:asciiTheme="minorHAnsi" w:hAnsiTheme="minorHAnsi" w:cs="Calibri"/>
                <w:sz w:val="16"/>
                <w:szCs w:val="16"/>
                <w:lang w:val="el-GR"/>
              </w:rPr>
            </w:pPr>
          </w:p>
        </w:tc>
        <w:tc>
          <w:tcPr>
            <w:tcW w:w="1190" w:type="pct"/>
            <w:shd w:val="clear" w:color="auto" w:fill="auto"/>
          </w:tcPr>
          <w:p w14:paraId="075C0B96" w14:textId="77777777" w:rsidR="005C0158" w:rsidRPr="00486EC5" w:rsidRDefault="005C0158" w:rsidP="004003A3">
            <w:pPr>
              <w:spacing w:before="120" w:after="0" w:line="240" w:lineRule="auto"/>
              <w:ind w:left="34"/>
              <w:rPr>
                <w:rFonts w:asciiTheme="minorHAnsi" w:hAnsiTheme="minorHAnsi" w:cs="Calibri"/>
                <w:sz w:val="16"/>
                <w:szCs w:val="16"/>
                <w:lang w:val="el-GR"/>
              </w:rPr>
            </w:pPr>
            <w:r w:rsidRPr="00486EC5">
              <w:rPr>
                <w:rFonts w:asciiTheme="minorHAnsi" w:hAnsiTheme="minorHAnsi" w:cs="Calibri"/>
                <w:sz w:val="16"/>
                <w:szCs w:val="16"/>
                <w:lang w:val="el-GR"/>
              </w:rPr>
              <w:t xml:space="preserve">Έγκριση Αναθεωρημένου Μηχανισμού Ανάλυσης Αντικτύπου, περιλαμβανομένης της εισαγωγής του </w:t>
            </w:r>
            <w:r w:rsidRPr="00486EC5">
              <w:rPr>
                <w:rFonts w:asciiTheme="minorHAnsi" w:hAnsiTheme="minorHAnsi" w:cs="Calibri"/>
                <w:sz w:val="16"/>
                <w:szCs w:val="16"/>
              </w:rPr>
              <w:t>SME</w:t>
            </w:r>
            <w:r w:rsidRPr="00486EC5">
              <w:rPr>
                <w:rFonts w:asciiTheme="minorHAnsi" w:hAnsiTheme="minorHAnsi" w:cs="Calibri"/>
                <w:sz w:val="16"/>
                <w:szCs w:val="16"/>
                <w:lang w:val="el-GR"/>
              </w:rPr>
              <w:t xml:space="preserve"> </w:t>
            </w:r>
            <w:r w:rsidRPr="00486EC5">
              <w:rPr>
                <w:rFonts w:asciiTheme="minorHAnsi" w:hAnsiTheme="minorHAnsi" w:cs="Calibri"/>
                <w:sz w:val="16"/>
                <w:szCs w:val="16"/>
              </w:rPr>
              <w:t>Test</w:t>
            </w:r>
            <w:r w:rsidRPr="00486EC5">
              <w:rPr>
                <w:rFonts w:asciiTheme="minorHAnsi" w:hAnsiTheme="minorHAnsi" w:cs="Calibri"/>
                <w:sz w:val="16"/>
                <w:szCs w:val="16"/>
                <w:lang w:val="el-GR"/>
              </w:rPr>
              <w:t>, από το Υπουργικό Συμβούλιο</w:t>
            </w:r>
          </w:p>
        </w:tc>
        <w:tc>
          <w:tcPr>
            <w:tcW w:w="375" w:type="pct"/>
            <w:shd w:val="clear" w:color="auto" w:fill="auto"/>
          </w:tcPr>
          <w:p w14:paraId="7135309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31/01/2016</w:t>
            </w:r>
          </w:p>
        </w:tc>
        <w:tc>
          <w:tcPr>
            <w:tcW w:w="423" w:type="pct"/>
          </w:tcPr>
          <w:p w14:paraId="2094F18F"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Υπουργικό Συμβούλιο</w:t>
            </w:r>
          </w:p>
        </w:tc>
        <w:tc>
          <w:tcPr>
            <w:tcW w:w="349" w:type="pct"/>
            <w:vMerge/>
          </w:tcPr>
          <w:p w14:paraId="0D03CE7F" w14:textId="77777777" w:rsidR="005C0158" w:rsidRPr="00486EC5" w:rsidRDefault="005C0158" w:rsidP="004003A3">
            <w:pPr>
              <w:snapToGrid w:val="0"/>
              <w:spacing w:before="120" w:after="0"/>
              <w:jc w:val="center"/>
              <w:rPr>
                <w:rFonts w:asciiTheme="minorHAnsi" w:hAnsiTheme="minorHAnsi" w:cs="Calibri"/>
                <w:sz w:val="16"/>
                <w:szCs w:val="16"/>
              </w:rPr>
            </w:pPr>
          </w:p>
        </w:tc>
        <w:tc>
          <w:tcPr>
            <w:tcW w:w="317" w:type="pct"/>
            <w:vMerge/>
          </w:tcPr>
          <w:p w14:paraId="6615A5EB" w14:textId="77777777" w:rsidR="005C0158" w:rsidRPr="00486EC5" w:rsidRDefault="005C0158" w:rsidP="004003A3">
            <w:pPr>
              <w:snapToGrid w:val="0"/>
              <w:spacing w:before="120" w:after="0"/>
              <w:jc w:val="center"/>
              <w:rPr>
                <w:rFonts w:asciiTheme="minorHAnsi" w:hAnsiTheme="minorHAnsi" w:cs="Calibri"/>
                <w:sz w:val="16"/>
                <w:szCs w:val="16"/>
              </w:rPr>
            </w:pPr>
          </w:p>
        </w:tc>
        <w:tc>
          <w:tcPr>
            <w:tcW w:w="358" w:type="pct"/>
          </w:tcPr>
          <w:p w14:paraId="678B02A8" w14:textId="77777777" w:rsidR="005C0158" w:rsidRPr="00486EC5" w:rsidRDefault="005C0158" w:rsidP="004003A3">
            <w:pPr>
              <w:snapToGrid w:val="0"/>
              <w:spacing w:before="120" w:after="0"/>
              <w:jc w:val="center"/>
              <w:rPr>
                <w:rFonts w:asciiTheme="minorHAnsi" w:hAnsiTheme="minorHAnsi" w:cs="Calibri"/>
                <w:sz w:val="16"/>
                <w:szCs w:val="16"/>
              </w:rPr>
            </w:pPr>
            <w:r w:rsidRPr="00486EC5">
              <w:rPr>
                <w:rFonts w:asciiTheme="minorHAnsi" w:hAnsiTheme="minorHAnsi" w:cs="Calibri"/>
                <w:sz w:val="16"/>
                <w:szCs w:val="16"/>
              </w:rPr>
              <w:t>05/09/2016</w:t>
            </w:r>
          </w:p>
        </w:tc>
        <w:tc>
          <w:tcPr>
            <w:tcW w:w="792" w:type="pct"/>
            <w:vMerge/>
          </w:tcPr>
          <w:p w14:paraId="5AF1E283" w14:textId="77777777" w:rsidR="005C0158" w:rsidRPr="00486EC5" w:rsidRDefault="005C0158" w:rsidP="004003A3">
            <w:pPr>
              <w:snapToGrid w:val="0"/>
              <w:spacing w:before="120" w:after="0"/>
              <w:rPr>
                <w:rFonts w:asciiTheme="minorHAnsi" w:hAnsiTheme="minorHAnsi" w:cs="Calibri"/>
                <w:sz w:val="16"/>
                <w:szCs w:val="16"/>
              </w:rPr>
            </w:pPr>
          </w:p>
        </w:tc>
      </w:tr>
      <w:tr w:rsidR="005C0158" w:rsidRPr="00486EC5" w14:paraId="30466AB3" w14:textId="77777777" w:rsidTr="004003A3">
        <w:trPr>
          <w:trHeight w:val="560"/>
          <w:jc w:val="center"/>
        </w:trPr>
        <w:tc>
          <w:tcPr>
            <w:tcW w:w="597" w:type="pct"/>
            <w:vMerge w:val="restart"/>
            <w:shd w:val="clear" w:color="auto" w:fill="auto"/>
          </w:tcPr>
          <w:p w14:paraId="63EA57DF" w14:textId="77777777" w:rsidR="005C0158" w:rsidRPr="00486EC5" w:rsidRDefault="005C0158" w:rsidP="004003A3">
            <w:pPr>
              <w:spacing w:before="120" w:after="120" w:line="240" w:lineRule="auto"/>
              <w:rPr>
                <w:rFonts w:asciiTheme="minorHAnsi" w:hAnsiTheme="minorHAnsi" w:cs="Calibri"/>
                <w:sz w:val="16"/>
                <w:szCs w:val="16"/>
                <w:lang w:val="el-GR"/>
              </w:rPr>
            </w:pPr>
            <w:bookmarkStart w:id="21" w:name="_Hlk481763030"/>
            <w:r w:rsidRPr="00486EC5">
              <w:rPr>
                <w:rFonts w:asciiTheme="minorHAnsi" w:hAnsiTheme="minorHAnsi" w:cs="Calibri"/>
                <w:b/>
                <w:sz w:val="16"/>
                <w:szCs w:val="16"/>
                <w:lang w:val="el-GR"/>
              </w:rPr>
              <w:t xml:space="preserve">5.1. Πρόληψη και διαχείριση κινδύνων: </w:t>
            </w:r>
            <w:r w:rsidRPr="00486EC5">
              <w:rPr>
                <w:rFonts w:asciiTheme="minorHAnsi" w:hAnsiTheme="minorHAnsi" w:cs="Calibri"/>
                <w:sz w:val="16"/>
                <w:szCs w:val="16"/>
                <w:lang w:val="el-GR"/>
              </w:rPr>
              <w:t>Η ύπαρξη εθνικών εκτιμήσεων κινδύνου για τη διαχείριση (φυσικών) καταστροφών, λαμβάνοντας υπόψη την προσαρμογή στην κλιματική αλλαγή</w:t>
            </w:r>
          </w:p>
          <w:p w14:paraId="3039E300" w14:textId="77777777" w:rsidR="005C0158" w:rsidRPr="00486EC5" w:rsidRDefault="005C0158" w:rsidP="004003A3">
            <w:pPr>
              <w:spacing w:before="120" w:after="120" w:line="240" w:lineRule="auto"/>
              <w:rPr>
                <w:rFonts w:asciiTheme="minorHAnsi" w:hAnsiTheme="minorHAnsi" w:cs="Calibri"/>
                <w:b/>
                <w:i/>
                <w:sz w:val="16"/>
                <w:szCs w:val="16"/>
                <w:lang w:val="el-GR"/>
              </w:rPr>
            </w:pPr>
          </w:p>
        </w:tc>
        <w:tc>
          <w:tcPr>
            <w:tcW w:w="599" w:type="pct"/>
            <w:shd w:val="clear" w:color="auto" w:fill="auto"/>
          </w:tcPr>
          <w:p w14:paraId="37C63A70"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1 - Εφαρμόζεται εθνική εκτίμηση κινδύνων με τα ακόλουθα στοιχεία:</w:t>
            </w:r>
          </w:p>
        </w:tc>
        <w:tc>
          <w:tcPr>
            <w:tcW w:w="1190" w:type="pct"/>
            <w:vMerge w:val="restart"/>
            <w:shd w:val="clear" w:color="auto" w:fill="auto"/>
          </w:tcPr>
          <w:p w14:paraId="4ABCA072" w14:textId="77777777" w:rsidR="005C0158" w:rsidRPr="00486EC5" w:rsidRDefault="005C0158" w:rsidP="004003A3">
            <w:pPr>
              <w:spacing w:before="120" w:after="0" w:line="240" w:lineRule="auto"/>
              <w:ind w:left="34"/>
              <w:rPr>
                <w:rFonts w:asciiTheme="minorHAnsi" w:hAnsiTheme="minorHAnsi" w:cs="Calibri"/>
                <w:sz w:val="16"/>
                <w:szCs w:val="16"/>
                <w:lang w:val="el-GR"/>
              </w:rPr>
            </w:pPr>
            <w:r w:rsidRPr="00486EC5">
              <w:rPr>
                <w:rFonts w:asciiTheme="minorHAnsi" w:hAnsiTheme="minorHAnsi" w:cs="Calibri"/>
                <w:sz w:val="16"/>
                <w:szCs w:val="16"/>
                <w:lang w:val="el-GR"/>
              </w:rPr>
              <w:t>Προκήρυξη ευρωπαϊκού διαγωνισμού, για την ανάθεση σε εμπειρογνώμονες της ετοιμασίας μελέτης «Εκτίμησης Κινδύνων» στην Κυπριακή Δημοκρατία</w:t>
            </w:r>
          </w:p>
          <w:p w14:paraId="41641360" w14:textId="77777777" w:rsidR="005C0158" w:rsidRPr="00486EC5" w:rsidRDefault="005C0158" w:rsidP="004003A3">
            <w:pPr>
              <w:spacing w:after="0" w:line="240" w:lineRule="auto"/>
              <w:ind w:left="34"/>
              <w:rPr>
                <w:rFonts w:asciiTheme="minorHAnsi" w:hAnsiTheme="minorHAnsi" w:cs="Calibri"/>
                <w:sz w:val="16"/>
                <w:szCs w:val="16"/>
                <w:lang w:val="el-GR"/>
              </w:rPr>
            </w:pPr>
          </w:p>
          <w:p w14:paraId="37481B2C" w14:textId="77777777" w:rsidR="005C0158" w:rsidRPr="00486EC5" w:rsidRDefault="005C0158" w:rsidP="004003A3">
            <w:pPr>
              <w:tabs>
                <w:tab w:val="left" w:pos="175"/>
              </w:tabs>
              <w:spacing w:after="0" w:line="240" w:lineRule="auto"/>
              <w:ind w:left="34"/>
              <w:rPr>
                <w:rFonts w:asciiTheme="minorHAnsi" w:hAnsiTheme="minorHAnsi" w:cs="Calibri"/>
                <w:sz w:val="16"/>
                <w:szCs w:val="16"/>
                <w:lang w:val="el-GR"/>
              </w:rPr>
            </w:pPr>
            <w:r w:rsidRPr="00486EC5">
              <w:rPr>
                <w:rFonts w:asciiTheme="minorHAnsi" w:hAnsiTheme="minorHAnsi" w:cs="Calibri"/>
                <w:sz w:val="16"/>
                <w:szCs w:val="16"/>
                <w:lang w:val="el-GR"/>
              </w:rPr>
              <w:t>Κατακύρωση προσφοράς και έναρξη μελέτης</w:t>
            </w:r>
          </w:p>
          <w:p w14:paraId="644743E5" w14:textId="77777777" w:rsidR="005C0158" w:rsidRPr="00486EC5" w:rsidRDefault="005C0158" w:rsidP="004003A3">
            <w:pPr>
              <w:tabs>
                <w:tab w:val="left" w:pos="175"/>
              </w:tabs>
              <w:spacing w:after="0" w:line="240" w:lineRule="auto"/>
              <w:ind w:left="34"/>
              <w:rPr>
                <w:rFonts w:asciiTheme="minorHAnsi" w:hAnsiTheme="minorHAnsi" w:cs="Calibri"/>
                <w:sz w:val="16"/>
                <w:szCs w:val="16"/>
                <w:lang w:val="el-GR"/>
              </w:rPr>
            </w:pPr>
          </w:p>
          <w:p w14:paraId="1D048B06" w14:textId="77777777" w:rsidR="005C0158" w:rsidRPr="00486EC5" w:rsidRDefault="005C0158" w:rsidP="004003A3">
            <w:pPr>
              <w:tabs>
                <w:tab w:val="left" w:pos="175"/>
              </w:tabs>
              <w:spacing w:after="0" w:line="240" w:lineRule="auto"/>
              <w:ind w:left="34"/>
              <w:rPr>
                <w:rFonts w:asciiTheme="minorHAnsi" w:hAnsiTheme="minorHAnsi" w:cs="Calibri"/>
                <w:sz w:val="16"/>
                <w:szCs w:val="16"/>
                <w:lang w:val="el-GR"/>
              </w:rPr>
            </w:pPr>
            <w:r w:rsidRPr="00486EC5">
              <w:rPr>
                <w:rFonts w:asciiTheme="minorHAnsi" w:hAnsiTheme="minorHAnsi" w:cs="Calibri"/>
                <w:sz w:val="16"/>
                <w:szCs w:val="16"/>
                <w:lang w:val="el-GR"/>
              </w:rPr>
              <w:t>Ολοκλήρωση Μελέτης</w:t>
            </w:r>
          </w:p>
          <w:p w14:paraId="52562F0F" w14:textId="77777777" w:rsidR="005C0158" w:rsidRPr="00486EC5" w:rsidRDefault="005C0158" w:rsidP="004003A3">
            <w:pPr>
              <w:tabs>
                <w:tab w:val="left" w:pos="175"/>
              </w:tabs>
              <w:spacing w:after="0" w:line="240" w:lineRule="auto"/>
              <w:ind w:left="34"/>
              <w:rPr>
                <w:rFonts w:asciiTheme="minorHAnsi" w:hAnsiTheme="minorHAnsi" w:cs="Calibri"/>
                <w:sz w:val="16"/>
                <w:szCs w:val="16"/>
                <w:lang w:val="el-GR"/>
              </w:rPr>
            </w:pPr>
          </w:p>
          <w:p w14:paraId="4F583009" w14:textId="77777777" w:rsidR="005C0158" w:rsidRPr="00486EC5" w:rsidRDefault="005C0158" w:rsidP="004003A3">
            <w:pPr>
              <w:tabs>
                <w:tab w:val="left" w:pos="175"/>
              </w:tabs>
              <w:spacing w:after="0" w:line="240" w:lineRule="auto"/>
              <w:ind w:left="34"/>
              <w:rPr>
                <w:rFonts w:asciiTheme="minorHAnsi" w:hAnsiTheme="minorHAnsi" w:cs="Calibri"/>
                <w:sz w:val="16"/>
                <w:szCs w:val="16"/>
                <w:lang w:val="el-GR"/>
              </w:rPr>
            </w:pPr>
            <w:r w:rsidRPr="00486EC5">
              <w:rPr>
                <w:rFonts w:asciiTheme="minorHAnsi" w:hAnsiTheme="minorHAnsi" w:cs="Calibri"/>
                <w:sz w:val="16"/>
                <w:szCs w:val="16"/>
                <w:lang w:val="el-GR"/>
              </w:rPr>
              <w:t>Ολοκλήρωση Δημόσιας Διαβούλευσης</w:t>
            </w:r>
          </w:p>
          <w:p w14:paraId="05379E18" w14:textId="77777777" w:rsidR="005C0158" w:rsidRPr="00486EC5" w:rsidRDefault="005C0158" w:rsidP="004003A3">
            <w:pPr>
              <w:tabs>
                <w:tab w:val="left" w:pos="175"/>
              </w:tabs>
              <w:spacing w:after="0" w:line="240" w:lineRule="auto"/>
              <w:ind w:left="34"/>
              <w:rPr>
                <w:rFonts w:asciiTheme="minorHAnsi" w:hAnsiTheme="minorHAnsi" w:cs="Calibri"/>
                <w:b/>
                <w:sz w:val="16"/>
                <w:szCs w:val="16"/>
                <w:lang w:val="el-GR"/>
              </w:rPr>
            </w:pPr>
          </w:p>
          <w:p w14:paraId="41B8A382" w14:textId="77777777" w:rsidR="005C0158" w:rsidRPr="00486EC5" w:rsidRDefault="005C0158" w:rsidP="004003A3">
            <w:pPr>
              <w:tabs>
                <w:tab w:val="left" w:pos="175"/>
              </w:tabs>
              <w:spacing w:after="0" w:line="240" w:lineRule="auto"/>
              <w:ind w:left="34"/>
              <w:rPr>
                <w:rFonts w:asciiTheme="minorHAnsi" w:hAnsiTheme="minorHAnsi" w:cs="Calibri"/>
                <w:sz w:val="16"/>
                <w:szCs w:val="16"/>
                <w:lang w:val="el-GR"/>
              </w:rPr>
            </w:pPr>
            <w:r w:rsidRPr="00486EC5">
              <w:rPr>
                <w:rFonts w:asciiTheme="minorHAnsi" w:hAnsiTheme="minorHAnsi" w:cs="Calibri"/>
                <w:sz w:val="16"/>
                <w:szCs w:val="16"/>
                <w:lang w:val="el-GR"/>
              </w:rPr>
              <w:t>Υιοθέτηση της Εθνικής Εκτίμησης Κινδύνων από το Υπουργικό Συμβούλιο</w:t>
            </w:r>
          </w:p>
        </w:tc>
        <w:tc>
          <w:tcPr>
            <w:tcW w:w="375" w:type="pct"/>
            <w:vMerge w:val="restart"/>
            <w:shd w:val="clear" w:color="auto" w:fill="auto"/>
          </w:tcPr>
          <w:p w14:paraId="6365932F"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30/09/2014</w:t>
            </w:r>
          </w:p>
          <w:p w14:paraId="4ACC4D90"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1AC85ED6"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13EB0333"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39E66BA2"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57BBF0DB" w14:textId="77777777" w:rsidR="005C0158" w:rsidRPr="00486EC5" w:rsidRDefault="005C0158" w:rsidP="004003A3">
            <w:pPr>
              <w:snapToGrid w:val="0"/>
              <w:spacing w:after="0" w:line="240" w:lineRule="auto"/>
              <w:jc w:val="center"/>
              <w:rPr>
                <w:rFonts w:asciiTheme="minorHAnsi" w:hAnsiTheme="minorHAnsi" w:cs="Calibri"/>
                <w:sz w:val="16"/>
                <w:szCs w:val="16"/>
              </w:rPr>
            </w:pPr>
            <w:r w:rsidRPr="00486EC5">
              <w:rPr>
                <w:rFonts w:asciiTheme="minorHAnsi" w:hAnsiTheme="minorHAnsi" w:cs="Calibri"/>
                <w:sz w:val="16"/>
                <w:szCs w:val="16"/>
              </w:rPr>
              <w:t>30/12/2014</w:t>
            </w:r>
          </w:p>
          <w:p w14:paraId="6013D494"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73CF157E" w14:textId="77777777" w:rsidR="005C0158" w:rsidRPr="00486EC5" w:rsidRDefault="005C0158" w:rsidP="004003A3">
            <w:pPr>
              <w:snapToGrid w:val="0"/>
              <w:spacing w:after="0" w:line="240" w:lineRule="auto"/>
              <w:jc w:val="center"/>
              <w:rPr>
                <w:rFonts w:asciiTheme="minorHAnsi" w:hAnsiTheme="minorHAnsi" w:cs="Calibri"/>
                <w:sz w:val="16"/>
                <w:szCs w:val="16"/>
              </w:rPr>
            </w:pPr>
            <w:r w:rsidRPr="00486EC5">
              <w:rPr>
                <w:rFonts w:asciiTheme="minorHAnsi" w:hAnsiTheme="minorHAnsi" w:cs="Calibri"/>
                <w:sz w:val="16"/>
                <w:szCs w:val="16"/>
              </w:rPr>
              <w:t>31/12/2015</w:t>
            </w:r>
          </w:p>
          <w:p w14:paraId="6A7879E8"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2AE9B24B" w14:textId="77777777" w:rsidR="005C0158" w:rsidRPr="00486EC5" w:rsidRDefault="005C0158" w:rsidP="004003A3">
            <w:pPr>
              <w:snapToGrid w:val="0"/>
              <w:spacing w:after="0" w:line="240" w:lineRule="auto"/>
              <w:jc w:val="center"/>
              <w:rPr>
                <w:rFonts w:asciiTheme="minorHAnsi" w:hAnsiTheme="minorHAnsi" w:cs="Calibri"/>
                <w:sz w:val="16"/>
                <w:szCs w:val="16"/>
              </w:rPr>
            </w:pPr>
            <w:r w:rsidRPr="00486EC5">
              <w:rPr>
                <w:rFonts w:asciiTheme="minorHAnsi" w:hAnsiTheme="minorHAnsi" w:cs="Calibri"/>
                <w:sz w:val="16"/>
                <w:szCs w:val="16"/>
              </w:rPr>
              <w:t>31/01/2016</w:t>
            </w:r>
          </w:p>
          <w:p w14:paraId="6269A822"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0A6405BC"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3A3CA78F" w14:textId="77777777" w:rsidR="005C0158" w:rsidRPr="00486EC5" w:rsidRDefault="005C0158" w:rsidP="004003A3">
            <w:pPr>
              <w:snapToGrid w:val="0"/>
              <w:spacing w:after="0" w:line="240" w:lineRule="auto"/>
              <w:jc w:val="center"/>
              <w:rPr>
                <w:rFonts w:asciiTheme="minorHAnsi" w:hAnsiTheme="minorHAnsi" w:cs="Calibri"/>
                <w:sz w:val="16"/>
                <w:szCs w:val="16"/>
              </w:rPr>
            </w:pPr>
            <w:r w:rsidRPr="00486EC5">
              <w:rPr>
                <w:rFonts w:asciiTheme="minorHAnsi" w:hAnsiTheme="minorHAnsi" w:cs="Calibri"/>
                <w:sz w:val="16"/>
                <w:szCs w:val="16"/>
              </w:rPr>
              <w:t>29/02/2016</w:t>
            </w:r>
          </w:p>
          <w:p w14:paraId="43F4DD8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423" w:type="pct"/>
            <w:vMerge w:val="restart"/>
          </w:tcPr>
          <w:p w14:paraId="23E2A5C9"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Τμήμα Περιβάλλοντος, Υπουργείο Γεωργίας, Φυσικών Πόρων και Περιβάλλοντος/ Υπουργικό Συμβούλιο</w:t>
            </w:r>
          </w:p>
        </w:tc>
        <w:tc>
          <w:tcPr>
            <w:tcW w:w="349" w:type="pct"/>
          </w:tcPr>
          <w:p w14:paraId="48FED687" w14:textId="77777777" w:rsidR="005C0158" w:rsidRPr="00486EC5" w:rsidRDefault="005C0158" w:rsidP="004003A3">
            <w:pPr>
              <w:snapToGrid w:val="0"/>
              <w:spacing w:before="120" w:after="12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ΟΧΙ</w:t>
            </w:r>
          </w:p>
        </w:tc>
        <w:tc>
          <w:tcPr>
            <w:tcW w:w="317" w:type="pct"/>
          </w:tcPr>
          <w:p w14:paraId="7378CFF5" w14:textId="77777777" w:rsidR="005C0158" w:rsidRPr="00486EC5" w:rsidRDefault="005C0158" w:rsidP="004003A3">
            <w:pPr>
              <w:snapToGrid w:val="0"/>
              <w:spacing w:before="120" w:after="12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vMerge w:val="restart"/>
          </w:tcPr>
          <w:p w14:paraId="7CCEDED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08/10/2014</w:t>
            </w:r>
          </w:p>
          <w:p w14:paraId="2746D8A9"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63F2920D"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6BD9E193"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20AFB0FA"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0F2521F1" w14:textId="77777777" w:rsidR="005C0158" w:rsidRPr="00486EC5" w:rsidRDefault="005C0158" w:rsidP="004003A3">
            <w:pPr>
              <w:snapToGrid w:val="0"/>
              <w:spacing w:after="0" w:line="240" w:lineRule="auto"/>
              <w:jc w:val="center"/>
              <w:rPr>
                <w:rFonts w:asciiTheme="minorHAnsi" w:hAnsiTheme="minorHAnsi" w:cs="Calibri"/>
                <w:sz w:val="16"/>
                <w:szCs w:val="16"/>
              </w:rPr>
            </w:pPr>
            <w:r w:rsidRPr="00486EC5">
              <w:rPr>
                <w:rFonts w:asciiTheme="minorHAnsi" w:hAnsiTheme="minorHAnsi" w:cs="Calibri"/>
                <w:sz w:val="16"/>
                <w:szCs w:val="16"/>
              </w:rPr>
              <w:t>03/06/2015</w:t>
            </w:r>
          </w:p>
          <w:p w14:paraId="1E93DA18"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29227F65" w14:textId="77777777" w:rsidR="005C0158" w:rsidRPr="00486EC5" w:rsidRDefault="005C0158" w:rsidP="004003A3">
            <w:pPr>
              <w:snapToGrid w:val="0"/>
              <w:spacing w:after="0" w:line="240" w:lineRule="auto"/>
              <w:jc w:val="center"/>
              <w:rPr>
                <w:rFonts w:asciiTheme="minorHAnsi" w:hAnsiTheme="minorHAnsi" w:cs="Calibri"/>
                <w:sz w:val="16"/>
                <w:szCs w:val="16"/>
              </w:rPr>
            </w:pPr>
            <w:r w:rsidRPr="00486EC5">
              <w:rPr>
                <w:rFonts w:asciiTheme="minorHAnsi" w:hAnsiTheme="minorHAnsi" w:cs="Calibri"/>
                <w:sz w:val="16"/>
                <w:szCs w:val="16"/>
              </w:rPr>
              <w:t>04/08/2016</w:t>
            </w:r>
          </w:p>
          <w:p w14:paraId="2B7E13C5"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1EC92A62" w14:textId="77777777" w:rsidR="005C0158" w:rsidRPr="00486EC5" w:rsidRDefault="005C0158" w:rsidP="004003A3">
            <w:pPr>
              <w:snapToGrid w:val="0"/>
              <w:spacing w:after="0" w:line="240" w:lineRule="auto"/>
              <w:jc w:val="center"/>
              <w:rPr>
                <w:rFonts w:asciiTheme="minorHAnsi" w:hAnsiTheme="minorHAnsi" w:cs="Calibri"/>
                <w:sz w:val="16"/>
                <w:szCs w:val="16"/>
              </w:rPr>
            </w:pPr>
            <w:r w:rsidRPr="00486EC5">
              <w:rPr>
                <w:rFonts w:asciiTheme="minorHAnsi" w:hAnsiTheme="minorHAnsi" w:cs="Calibri"/>
                <w:sz w:val="16"/>
                <w:szCs w:val="16"/>
              </w:rPr>
              <w:t>31/01/2017</w:t>
            </w:r>
          </w:p>
          <w:p w14:paraId="266BC5D3"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0F90E96D" w14:textId="77777777" w:rsidR="005C0158" w:rsidRPr="00486EC5" w:rsidRDefault="005C0158" w:rsidP="004003A3">
            <w:pPr>
              <w:snapToGrid w:val="0"/>
              <w:spacing w:after="0" w:line="240" w:lineRule="auto"/>
              <w:jc w:val="center"/>
              <w:rPr>
                <w:rFonts w:asciiTheme="minorHAnsi" w:hAnsiTheme="minorHAnsi" w:cs="Calibri"/>
                <w:sz w:val="16"/>
                <w:szCs w:val="16"/>
              </w:rPr>
            </w:pPr>
          </w:p>
          <w:p w14:paraId="4557AFCC" w14:textId="77777777" w:rsidR="005C0158" w:rsidRPr="00486EC5" w:rsidRDefault="005C0158" w:rsidP="004003A3">
            <w:pPr>
              <w:snapToGrid w:val="0"/>
              <w:spacing w:after="0" w:line="240" w:lineRule="auto"/>
              <w:jc w:val="center"/>
              <w:rPr>
                <w:rFonts w:asciiTheme="minorHAnsi" w:hAnsiTheme="minorHAnsi" w:cs="Calibri"/>
                <w:sz w:val="16"/>
                <w:szCs w:val="16"/>
              </w:rPr>
            </w:pPr>
            <w:r w:rsidRPr="00486EC5">
              <w:rPr>
                <w:rFonts w:asciiTheme="minorHAnsi" w:hAnsiTheme="minorHAnsi" w:cs="Calibri"/>
                <w:sz w:val="16"/>
                <w:szCs w:val="16"/>
                <w:lang w:val="el-GR"/>
              </w:rPr>
              <w:t>18</w:t>
            </w:r>
            <w:r w:rsidRPr="00486EC5">
              <w:rPr>
                <w:rFonts w:asciiTheme="minorHAnsi" w:hAnsiTheme="minorHAnsi" w:cs="Calibri"/>
                <w:sz w:val="16"/>
                <w:szCs w:val="16"/>
              </w:rPr>
              <w:t>/05/2017</w:t>
            </w:r>
          </w:p>
          <w:p w14:paraId="4FFFFD99" w14:textId="77777777" w:rsidR="005C0158" w:rsidRPr="00486EC5" w:rsidRDefault="005C0158" w:rsidP="004003A3">
            <w:pPr>
              <w:snapToGrid w:val="0"/>
              <w:spacing w:before="120" w:after="120" w:line="240" w:lineRule="auto"/>
              <w:jc w:val="center"/>
              <w:rPr>
                <w:rFonts w:asciiTheme="minorHAnsi" w:hAnsiTheme="minorHAnsi" w:cs="Calibri"/>
                <w:sz w:val="16"/>
                <w:szCs w:val="16"/>
              </w:rPr>
            </w:pPr>
          </w:p>
        </w:tc>
        <w:tc>
          <w:tcPr>
            <w:tcW w:w="792" w:type="pct"/>
            <w:vMerge w:val="restart"/>
          </w:tcPr>
          <w:p w14:paraId="2AB0C447" w14:textId="77777777" w:rsidR="005C0158" w:rsidRPr="00486EC5" w:rsidRDefault="005C0158" w:rsidP="004003A3">
            <w:pPr>
              <w:snapToGrid w:val="0"/>
              <w:spacing w:before="120" w:after="120" w:line="240" w:lineRule="auto"/>
              <w:rPr>
                <w:rFonts w:asciiTheme="minorHAnsi" w:hAnsiTheme="minorHAnsi" w:cs="Calibri"/>
                <w:sz w:val="16"/>
                <w:szCs w:val="16"/>
                <w:lang w:val="el-GR"/>
              </w:rPr>
            </w:pPr>
            <w:r w:rsidRPr="00486EC5">
              <w:rPr>
                <w:rFonts w:asciiTheme="minorHAnsi" w:hAnsiTheme="minorHAnsi" w:cs="Calibri"/>
                <w:sz w:val="16"/>
                <w:szCs w:val="16"/>
                <w:lang w:val="el-GR"/>
              </w:rPr>
              <w:t>Τα κριτήρια εκπληρώθηκαν με την ολοκλήρωση της Αξιολόγησης Εκτίμησης Κινδύνων στις 4/8/2016 και τη μετέπειτα έγκριση της Εθνικής Στρατηγικής για την Προσαρμογή της Κλιματικής Αλλαγής από το Υπουργικό Συμβούλιο στις 18/5/2017.</w:t>
            </w:r>
          </w:p>
          <w:p w14:paraId="5A66AEA2" w14:textId="77777777" w:rsidR="005C0158" w:rsidRPr="00486EC5" w:rsidRDefault="005C0158" w:rsidP="004003A3">
            <w:pPr>
              <w:snapToGrid w:val="0"/>
              <w:spacing w:before="120" w:after="12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26/6/17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(2017)3183031).</w:t>
            </w:r>
          </w:p>
        </w:tc>
      </w:tr>
      <w:bookmarkEnd w:id="21"/>
      <w:tr w:rsidR="005C0158" w:rsidRPr="00486EC5" w14:paraId="4F7FA0C7" w14:textId="77777777" w:rsidTr="004003A3">
        <w:trPr>
          <w:trHeight w:val="560"/>
          <w:jc w:val="center"/>
        </w:trPr>
        <w:tc>
          <w:tcPr>
            <w:tcW w:w="597" w:type="pct"/>
            <w:vMerge/>
            <w:shd w:val="clear" w:color="auto" w:fill="auto"/>
          </w:tcPr>
          <w:p w14:paraId="18781372" w14:textId="77777777" w:rsidR="005C0158" w:rsidRPr="00486EC5" w:rsidRDefault="005C0158" w:rsidP="004003A3">
            <w:pPr>
              <w:spacing w:before="120" w:after="120" w:line="240" w:lineRule="auto"/>
              <w:rPr>
                <w:rFonts w:asciiTheme="minorHAnsi" w:hAnsiTheme="minorHAnsi" w:cs="Calibri"/>
                <w:b/>
                <w:sz w:val="16"/>
                <w:szCs w:val="16"/>
                <w:lang w:val="el-GR"/>
              </w:rPr>
            </w:pPr>
          </w:p>
        </w:tc>
        <w:tc>
          <w:tcPr>
            <w:tcW w:w="599" w:type="pct"/>
            <w:shd w:val="clear" w:color="auto" w:fill="auto"/>
          </w:tcPr>
          <w:p w14:paraId="518EBBA7"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2 - περιγραφή της διαδικασίας, της μεθοδολογίας, των μεθόδων και των μη ευαίσθητου χαρακτήρα δεδομένων που χρησιμοποιούνται για την εκτίμηση των κινδύνων, καθώς και των κριτηρίων, βάση κινδύνων, ιεράρχησης των επενδύσεων;</w:t>
            </w:r>
          </w:p>
        </w:tc>
        <w:tc>
          <w:tcPr>
            <w:tcW w:w="1190" w:type="pct"/>
            <w:vMerge/>
            <w:shd w:val="clear" w:color="auto" w:fill="auto"/>
          </w:tcPr>
          <w:p w14:paraId="6BC1DB32" w14:textId="77777777" w:rsidR="005C0158" w:rsidRPr="00486EC5" w:rsidRDefault="005C0158" w:rsidP="004003A3">
            <w:pPr>
              <w:tabs>
                <w:tab w:val="left" w:pos="175"/>
              </w:tabs>
              <w:spacing w:before="120" w:after="120" w:line="240" w:lineRule="auto"/>
              <w:rPr>
                <w:rFonts w:asciiTheme="minorHAnsi" w:hAnsiTheme="minorHAnsi" w:cs="Calibri"/>
                <w:sz w:val="16"/>
                <w:szCs w:val="16"/>
                <w:lang w:val="el-GR"/>
              </w:rPr>
            </w:pPr>
          </w:p>
        </w:tc>
        <w:tc>
          <w:tcPr>
            <w:tcW w:w="375" w:type="pct"/>
            <w:vMerge/>
            <w:shd w:val="clear" w:color="auto" w:fill="auto"/>
          </w:tcPr>
          <w:p w14:paraId="0702EBBA" w14:textId="77777777" w:rsidR="005C0158" w:rsidRPr="00486EC5" w:rsidRDefault="005C0158" w:rsidP="004003A3">
            <w:pPr>
              <w:snapToGrid w:val="0"/>
              <w:spacing w:before="120" w:after="120" w:line="240" w:lineRule="auto"/>
              <w:jc w:val="center"/>
              <w:rPr>
                <w:rFonts w:asciiTheme="minorHAnsi" w:hAnsiTheme="minorHAnsi" w:cs="Calibri"/>
                <w:sz w:val="16"/>
                <w:szCs w:val="16"/>
                <w:lang w:val="el-GR"/>
              </w:rPr>
            </w:pPr>
          </w:p>
        </w:tc>
        <w:tc>
          <w:tcPr>
            <w:tcW w:w="423" w:type="pct"/>
            <w:vMerge/>
          </w:tcPr>
          <w:p w14:paraId="1619FB0A" w14:textId="77777777" w:rsidR="005C0158" w:rsidRPr="00486EC5" w:rsidRDefault="005C0158" w:rsidP="004003A3">
            <w:pPr>
              <w:snapToGrid w:val="0"/>
              <w:spacing w:after="120" w:line="240" w:lineRule="auto"/>
              <w:jc w:val="center"/>
              <w:rPr>
                <w:rFonts w:asciiTheme="minorHAnsi" w:hAnsiTheme="minorHAnsi" w:cs="Calibri"/>
                <w:sz w:val="16"/>
                <w:szCs w:val="16"/>
                <w:lang w:val="el-GR"/>
              </w:rPr>
            </w:pPr>
          </w:p>
        </w:tc>
        <w:tc>
          <w:tcPr>
            <w:tcW w:w="349" w:type="pct"/>
          </w:tcPr>
          <w:p w14:paraId="7DC0788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ΟΧΙ</w:t>
            </w:r>
          </w:p>
        </w:tc>
        <w:tc>
          <w:tcPr>
            <w:tcW w:w="317" w:type="pct"/>
          </w:tcPr>
          <w:p w14:paraId="5BDC172D"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vMerge/>
          </w:tcPr>
          <w:p w14:paraId="2571EE3E" w14:textId="77777777" w:rsidR="005C0158" w:rsidRPr="00486EC5" w:rsidRDefault="005C0158" w:rsidP="004003A3">
            <w:pPr>
              <w:snapToGrid w:val="0"/>
              <w:spacing w:after="120" w:line="240" w:lineRule="auto"/>
              <w:jc w:val="center"/>
              <w:rPr>
                <w:rFonts w:asciiTheme="minorHAnsi" w:hAnsiTheme="minorHAnsi" w:cs="Calibri"/>
                <w:sz w:val="16"/>
                <w:szCs w:val="16"/>
              </w:rPr>
            </w:pPr>
          </w:p>
        </w:tc>
        <w:tc>
          <w:tcPr>
            <w:tcW w:w="792" w:type="pct"/>
            <w:vMerge/>
          </w:tcPr>
          <w:p w14:paraId="1ECD92A6" w14:textId="77777777" w:rsidR="005C0158" w:rsidRPr="00486EC5" w:rsidRDefault="005C0158" w:rsidP="004003A3">
            <w:pPr>
              <w:snapToGrid w:val="0"/>
              <w:spacing w:after="120" w:line="240" w:lineRule="auto"/>
              <w:rPr>
                <w:rFonts w:asciiTheme="minorHAnsi" w:hAnsiTheme="minorHAnsi" w:cs="Calibri"/>
                <w:sz w:val="16"/>
                <w:szCs w:val="16"/>
              </w:rPr>
            </w:pPr>
          </w:p>
        </w:tc>
      </w:tr>
      <w:tr w:rsidR="005C0158" w:rsidRPr="00486EC5" w14:paraId="3333CF2F" w14:textId="77777777" w:rsidTr="004003A3">
        <w:trPr>
          <w:trHeight w:val="560"/>
          <w:jc w:val="center"/>
        </w:trPr>
        <w:tc>
          <w:tcPr>
            <w:tcW w:w="597" w:type="pct"/>
            <w:vMerge/>
            <w:shd w:val="clear" w:color="auto" w:fill="auto"/>
          </w:tcPr>
          <w:p w14:paraId="6E47CE27" w14:textId="77777777" w:rsidR="005C0158" w:rsidRPr="00486EC5" w:rsidRDefault="005C0158" w:rsidP="004003A3">
            <w:pPr>
              <w:spacing w:before="120" w:after="120" w:line="240" w:lineRule="auto"/>
              <w:rPr>
                <w:rFonts w:asciiTheme="minorHAnsi" w:hAnsiTheme="minorHAnsi" w:cs="Calibri"/>
                <w:b/>
                <w:sz w:val="16"/>
                <w:szCs w:val="16"/>
              </w:rPr>
            </w:pPr>
          </w:p>
        </w:tc>
        <w:tc>
          <w:tcPr>
            <w:tcW w:w="599" w:type="pct"/>
            <w:shd w:val="clear" w:color="auto" w:fill="auto"/>
          </w:tcPr>
          <w:p w14:paraId="53BCA288"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3 - περιγραφή των σεναρίων ενός μόνου και πολλαπλών κινδύνων; </w:t>
            </w:r>
          </w:p>
        </w:tc>
        <w:tc>
          <w:tcPr>
            <w:tcW w:w="1190" w:type="pct"/>
            <w:vMerge/>
            <w:shd w:val="clear" w:color="auto" w:fill="auto"/>
          </w:tcPr>
          <w:p w14:paraId="06B418B2" w14:textId="77777777" w:rsidR="005C0158" w:rsidRPr="00486EC5" w:rsidRDefault="005C0158" w:rsidP="004003A3">
            <w:pPr>
              <w:tabs>
                <w:tab w:val="left" w:pos="175"/>
              </w:tabs>
              <w:spacing w:before="120" w:after="120" w:line="240" w:lineRule="auto"/>
              <w:rPr>
                <w:rFonts w:asciiTheme="minorHAnsi" w:hAnsiTheme="minorHAnsi" w:cs="Calibri"/>
                <w:sz w:val="16"/>
                <w:szCs w:val="16"/>
                <w:lang w:val="el-GR"/>
              </w:rPr>
            </w:pPr>
          </w:p>
        </w:tc>
        <w:tc>
          <w:tcPr>
            <w:tcW w:w="375" w:type="pct"/>
            <w:vMerge/>
            <w:shd w:val="clear" w:color="auto" w:fill="auto"/>
          </w:tcPr>
          <w:p w14:paraId="46241D9C" w14:textId="77777777" w:rsidR="005C0158" w:rsidRPr="00486EC5" w:rsidRDefault="005C0158" w:rsidP="004003A3">
            <w:pPr>
              <w:snapToGrid w:val="0"/>
              <w:spacing w:before="120" w:after="120" w:line="240" w:lineRule="auto"/>
              <w:jc w:val="center"/>
              <w:rPr>
                <w:rFonts w:asciiTheme="minorHAnsi" w:hAnsiTheme="minorHAnsi" w:cs="Calibri"/>
                <w:sz w:val="16"/>
                <w:szCs w:val="16"/>
                <w:lang w:val="el-GR"/>
              </w:rPr>
            </w:pPr>
          </w:p>
        </w:tc>
        <w:tc>
          <w:tcPr>
            <w:tcW w:w="423" w:type="pct"/>
            <w:vMerge/>
          </w:tcPr>
          <w:p w14:paraId="7290C54E" w14:textId="77777777" w:rsidR="005C0158" w:rsidRPr="00486EC5" w:rsidRDefault="005C0158" w:rsidP="004003A3">
            <w:pPr>
              <w:snapToGrid w:val="0"/>
              <w:spacing w:after="120" w:line="240" w:lineRule="auto"/>
              <w:jc w:val="center"/>
              <w:rPr>
                <w:rFonts w:asciiTheme="minorHAnsi" w:hAnsiTheme="minorHAnsi" w:cs="Calibri"/>
                <w:sz w:val="16"/>
                <w:szCs w:val="16"/>
                <w:lang w:val="el-GR"/>
              </w:rPr>
            </w:pPr>
          </w:p>
        </w:tc>
        <w:tc>
          <w:tcPr>
            <w:tcW w:w="349" w:type="pct"/>
          </w:tcPr>
          <w:p w14:paraId="36EE472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ΟΧΙ</w:t>
            </w:r>
          </w:p>
        </w:tc>
        <w:tc>
          <w:tcPr>
            <w:tcW w:w="317" w:type="pct"/>
          </w:tcPr>
          <w:p w14:paraId="6E2CB34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vMerge/>
          </w:tcPr>
          <w:p w14:paraId="43E5A9C4" w14:textId="77777777" w:rsidR="005C0158" w:rsidRPr="00486EC5" w:rsidRDefault="005C0158" w:rsidP="004003A3">
            <w:pPr>
              <w:snapToGrid w:val="0"/>
              <w:spacing w:after="120" w:line="240" w:lineRule="auto"/>
              <w:jc w:val="center"/>
              <w:rPr>
                <w:rFonts w:asciiTheme="minorHAnsi" w:hAnsiTheme="minorHAnsi" w:cs="Calibri"/>
                <w:sz w:val="16"/>
                <w:szCs w:val="16"/>
              </w:rPr>
            </w:pPr>
          </w:p>
        </w:tc>
        <w:tc>
          <w:tcPr>
            <w:tcW w:w="792" w:type="pct"/>
            <w:vMerge/>
          </w:tcPr>
          <w:p w14:paraId="5CAEA66F" w14:textId="77777777" w:rsidR="005C0158" w:rsidRPr="00486EC5" w:rsidRDefault="005C0158" w:rsidP="004003A3">
            <w:pPr>
              <w:snapToGrid w:val="0"/>
              <w:spacing w:after="120" w:line="240" w:lineRule="auto"/>
              <w:rPr>
                <w:rFonts w:asciiTheme="minorHAnsi" w:hAnsiTheme="minorHAnsi" w:cs="Calibri"/>
                <w:sz w:val="16"/>
                <w:szCs w:val="16"/>
              </w:rPr>
            </w:pPr>
          </w:p>
        </w:tc>
      </w:tr>
      <w:tr w:rsidR="005C0158" w:rsidRPr="00486EC5" w14:paraId="4570A93C" w14:textId="77777777" w:rsidTr="004003A3">
        <w:trPr>
          <w:trHeight w:val="560"/>
          <w:jc w:val="center"/>
        </w:trPr>
        <w:tc>
          <w:tcPr>
            <w:tcW w:w="597" w:type="pct"/>
            <w:vMerge/>
            <w:shd w:val="clear" w:color="auto" w:fill="auto"/>
          </w:tcPr>
          <w:p w14:paraId="65A01643" w14:textId="77777777" w:rsidR="005C0158" w:rsidRPr="00486EC5" w:rsidRDefault="005C0158" w:rsidP="004003A3">
            <w:pPr>
              <w:spacing w:before="120" w:after="120" w:line="240" w:lineRule="auto"/>
              <w:rPr>
                <w:rFonts w:asciiTheme="minorHAnsi" w:hAnsiTheme="minorHAnsi" w:cs="Calibri"/>
                <w:b/>
                <w:sz w:val="16"/>
                <w:szCs w:val="16"/>
              </w:rPr>
            </w:pPr>
          </w:p>
        </w:tc>
        <w:tc>
          <w:tcPr>
            <w:tcW w:w="599" w:type="pct"/>
            <w:shd w:val="clear" w:color="auto" w:fill="auto"/>
          </w:tcPr>
          <w:p w14:paraId="49830086"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4 - λαμβάνοντας υπόψη, κατά περίπτωση, τις </w:t>
            </w:r>
            <w:r w:rsidRPr="00486EC5">
              <w:rPr>
                <w:rFonts w:asciiTheme="minorHAnsi" w:hAnsiTheme="minorHAnsi" w:cs="Calibri"/>
                <w:sz w:val="16"/>
                <w:szCs w:val="16"/>
                <w:lang w:val="el-GR"/>
              </w:rPr>
              <w:lastRenderedPageBreak/>
              <w:t>εθνικές στρατηγικές προσαρμογής στην κλιματική αλλαγή.</w:t>
            </w:r>
          </w:p>
        </w:tc>
        <w:tc>
          <w:tcPr>
            <w:tcW w:w="1190" w:type="pct"/>
            <w:vMerge/>
            <w:shd w:val="clear" w:color="auto" w:fill="auto"/>
          </w:tcPr>
          <w:p w14:paraId="41B7FC02" w14:textId="77777777" w:rsidR="005C0158" w:rsidRPr="00486EC5" w:rsidRDefault="005C0158" w:rsidP="004003A3">
            <w:pPr>
              <w:tabs>
                <w:tab w:val="left" w:pos="175"/>
              </w:tabs>
              <w:spacing w:before="120" w:after="120" w:line="240" w:lineRule="auto"/>
              <w:rPr>
                <w:rFonts w:asciiTheme="minorHAnsi" w:hAnsiTheme="minorHAnsi" w:cs="Calibri"/>
                <w:sz w:val="16"/>
                <w:szCs w:val="16"/>
                <w:lang w:val="el-GR"/>
              </w:rPr>
            </w:pPr>
          </w:p>
        </w:tc>
        <w:tc>
          <w:tcPr>
            <w:tcW w:w="375" w:type="pct"/>
            <w:vMerge/>
            <w:shd w:val="clear" w:color="auto" w:fill="auto"/>
          </w:tcPr>
          <w:p w14:paraId="4A4B9EB6" w14:textId="77777777" w:rsidR="005C0158" w:rsidRPr="00486EC5" w:rsidRDefault="005C0158" w:rsidP="004003A3">
            <w:pPr>
              <w:snapToGrid w:val="0"/>
              <w:spacing w:before="120" w:after="120" w:line="240" w:lineRule="auto"/>
              <w:jc w:val="center"/>
              <w:rPr>
                <w:rFonts w:asciiTheme="minorHAnsi" w:hAnsiTheme="minorHAnsi" w:cs="Calibri"/>
                <w:sz w:val="16"/>
                <w:szCs w:val="16"/>
                <w:lang w:val="el-GR"/>
              </w:rPr>
            </w:pPr>
          </w:p>
        </w:tc>
        <w:tc>
          <w:tcPr>
            <w:tcW w:w="423" w:type="pct"/>
            <w:vMerge/>
          </w:tcPr>
          <w:p w14:paraId="5214789E" w14:textId="77777777" w:rsidR="005C0158" w:rsidRPr="00486EC5" w:rsidRDefault="005C0158" w:rsidP="004003A3">
            <w:pPr>
              <w:snapToGrid w:val="0"/>
              <w:spacing w:after="120" w:line="240" w:lineRule="auto"/>
              <w:jc w:val="center"/>
              <w:rPr>
                <w:rFonts w:asciiTheme="minorHAnsi" w:hAnsiTheme="minorHAnsi" w:cs="Calibri"/>
                <w:sz w:val="16"/>
                <w:szCs w:val="16"/>
                <w:lang w:val="el-GR"/>
              </w:rPr>
            </w:pPr>
          </w:p>
        </w:tc>
        <w:tc>
          <w:tcPr>
            <w:tcW w:w="349" w:type="pct"/>
          </w:tcPr>
          <w:p w14:paraId="766430B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ΟΧΙ</w:t>
            </w:r>
          </w:p>
        </w:tc>
        <w:tc>
          <w:tcPr>
            <w:tcW w:w="317" w:type="pct"/>
          </w:tcPr>
          <w:p w14:paraId="7CACFAB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vMerge/>
          </w:tcPr>
          <w:p w14:paraId="131A7D5F" w14:textId="77777777" w:rsidR="005C0158" w:rsidRPr="00486EC5" w:rsidRDefault="005C0158" w:rsidP="004003A3">
            <w:pPr>
              <w:snapToGrid w:val="0"/>
              <w:spacing w:after="120" w:line="240" w:lineRule="auto"/>
              <w:jc w:val="center"/>
              <w:rPr>
                <w:rFonts w:asciiTheme="minorHAnsi" w:hAnsiTheme="minorHAnsi" w:cs="Calibri"/>
                <w:sz w:val="16"/>
                <w:szCs w:val="16"/>
              </w:rPr>
            </w:pPr>
          </w:p>
        </w:tc>
        <w:tc>
          <w:tcPr>
            <w:tcW w:w="792" w:type="pct"/>
            <w:vMerge/>
          </w:tcPr>
          <w:p w14:paraId="7A485EFA" w14:textId="77777777" w:rsidR="005C0158" w:rsidRPr="00486EC5" w:rsidRDefault="005C0158" w:rsidP="004003A3">
            <w:pPr>
              <w:snapToGrid w:val="0"/>
              <w:spacing w:after="120" w:line="240" w:lineRule="auto"/>
              <w:rPr>
                <w:rFonts w:asciiTheme="minorHAnsi" w:hAnsiTheme="minorHAnsi" w:cs="Calibri"/>
                <w:sz w:val="16"/>
                <w:szCs w:val="16"/>
              </w:rPr>
            </w:pPr>
          </w:p>
        </w:tc>
      </w:tr>
      <w:tr w:rsidR="005C0158" w:rsidRPr="00486EC5" w14:paraId="38ECDE36" w14:textId="77777777" w:rsidTr="004003A3">
        <w:trPr>
          <w:trHeight w:val="70"/>
          <w:jc w:val="center"/>
        </w:trPr>
        <w:tc>
          <w:tcPr>
            <w:tcW w:w="597" w:type="pct"/>
            <w:vMerge w:val="restart"/>
            <w:shd w:val="clear" w:color="auto" w:fill="auto"/>
          </w:tcPr>
          <w:p w14:paraId="0E194BED" w14:textId="77777777" w:rsidR="005C0158" w:rsidRPr="00486EC5" w:rsidRDefault="005C0158" w:rsidP="004003A3">
            <w:pPr>
              <w:spacing w:before="120" w:after="120" w:line="240" w:lineRule="auto"/>
              <w:rPr>
                <w:rFonts w:asciiTheme="minorHAnsi" w:hAnsiTheme="minorHAnsi" w:cs="Calibri"/>
                <w:b/>
                <w:i/>
                <w:sz w:val="16"/>
                <w:szCs w:val="16"/>
                <w:lang w:val="el-GR"/>
              </w:rPr>
            </w:pPr>
            <w:bookmarkStart w:id="22" w:name="_Hlk481996116"/>
            <w:r w:rsidRPr="00486EC5">
              <w:rPr>
                <w:rFonts w:asciiTheme="minorHAnsi" w:hAnsiTheme="minorHAnsi" w:cs="Calibri"/>
                <w:b/>
                <w:i/>
                <w:sz w:val="16"/>
                <w:szCs w:val="16"/>
                <w:lang w:val="el-GR"/>
              </w:rPr>
              <w:t xml:space="preserve">6.1. Τομέας υδάτων: </w:t>
            </w:r>
          </w:p>
          <w:p w14:paraId="7B827080" w14:textId="77777777" w:rsidR="005C0158" w:rsidRPr="00486EC5" w:rsidRDefault="005C0158" w:rsidP="004003A3">
            <w:pPr>
              <w:spacing w:before="120" w:after="120" w:line="240" w:lineRule="auto"/>
              <w:rPr>
                <w:rFonts w:asciiTheme="minorHAnsi" w:hAnsiTheme="minorHAnsi" w:cs="Calibri"/>
                <w:b/>
                <w:color w:val="000000"/>
                <w:sz w:val="16"/>
                <w:szCs w:val="16"/>
                <w:lang w:val="el-GR"/>
              </w:rPr>
            </w:pPr>
            <w:r w:rsidRPr="00486EC5">
              <w:rPr>
                <w:rFonts w:asciiTheme="minorHAnsi" w:hAnsiTheme="minorHAnsi" w:cs="Calibri"/>
                <w:i/>
                <w:sz w:val="16"/>
                <w:szCs w:val="16"/>
                <w:lang w:val="el-GR"/>
              </w:rPr>
              <w:t>Η ύπαρξη α) πολιτικής τιμολόγησης του νερού η οποία παρέχει επαρκή κίνητρα στους χρήστες αποδοτική χρήση των υδάτινων πόρων και β) επαρκούς συνεισφοράς των διαφόρων χρήσεων του νερού στην ανάκτηση του κόστους των υπηρεσιών ύδρευσης με συντελεστή που καθορίζεται στο εγκεκριμένο σχέδιο διαχείρισης λεκάνης ποταμού για τις επενδύσεις που υποστηρίζονται από τα προγράμματα.</w:t>
            </w:r>
          </w:p>
        </w:tc>
        <w:tc>
          <w:tcPr>
            <w:tcW w:w="599" w:type="pct"/>
            <w:vMerge w:val="restart"/>
          </w:tcPr>
          <w:p w14:paraId="5622E18C"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1 - Σε τομείς που υποστηρίζονται από το ΕΤΠΑ και το Ταμείο Συνοχής, το κράτος μέλος έχει εξασφαλίσει τη συνεισφορά των διαφόρων χρήσεων του νερού στην ανάκτηση του κόστους των υπηρεσιών ύδρευσης ανά τομέα, σύμφωνα με το άρθρο 9, παράγραφος 1, πρώτο εδάφιο, της Οδηγίας 2000/60/ΕΚ λαμβάνοντας υπόψη, κατά περίπτωση, τις κοινωνικές, περιβαλλοντικές και οικονομικές επιπτώσεις της ανάκτησης, καθώς και τις γεωγραφικές και κλιματολογικές συνθήκες της επηρεαζόμενης περιοχής ή περιοχών.</w:t>
            </w:r>
          </w:p>
        </w:tc>
        <w:tc>
          <w:tcPr>
            <w:tcW w:w="1190" w:type="pct"/>
          </w:tcPr>
          <w:p w14:paraId="1333AC3A" w14:textId="77777777" w:rsidR="005C0158" w:rsidRPr="00486EC5" w:rsidRDefault="005C0158" w:rsidP="004003A3">
            <w:pPr>
              <w:tabs>
                <w:tab w:val="left" w:pos="317"/>
              </w:tabs>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Ολοκλήρωση  ενημέρωσης / διαβούλευσης με Τοπικές Αρχές σχετικά με τη νέα πολιτική και τις υποχρεώσεις τους, όπως αυτές πηγάζουν από τους Κανονισμούς</w:t>
            </w:r>
          </w:p>
        </w:tc>
        <w:tc>
          <w:tcPr>
            <w:tcW w:w="375" w:type="pct"/>
          </w:tcPr>
          <w:p w14:paraId="4062E3E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31/01/2015</w:t>
            </w:r>
          </w:p>
          <w:p w14:paraId="2CCE86B7"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p w14:paraId="0A12D3E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423" w:type="pct"/>
            <w:vMerge w:val="restart"/>
          </w:tcPr>
          <w:p w14:paraId="0F571776" w14:textId="77777777" w:rsidR="005C0158" w:rsidRPr="00486EC5" w:rsidRDefault="005C0158" w:rsidP="004003A3">
            <w:pPr>
              <w:snapToGrid w:val="0"/>
              <w:spacing w:before="120" w:after="120"/>
              <w:jc w:val="center"/>
              <w:rPr>
                <w:rFonts w:asciiTheme="minorHAnsi" w:hAnsiTheme="minorHAnsi" w:cs="Calibri"/>
                <w:sz w:val="16"/>
                <w:szCs w:val="16"/>
                <w:lang w:val="el-GR"/>
              </w:rPr>
            </w:pPr>
            <w:r w:rsidRPr="00486EC5">
              <w:rPr>
                <w:rFonts w:asciiTheme="minorHAnsi" w:hAnsiTheme="minorHAnsi" w:cs="Calibri"/>
                <w:sz w:val="16"/>
                <w:szCs w:val="16"/>
                <w:lang w:val="el-GR"/>
              </w:rPr>
              <w:t>Τμήμα Περιβάλλοντος, Υπουργείο Γεωργίας, Φυσικών Πόρων και Περιβάλλοντος/ Υπουργικό Συμβούλιο</w:t>
            </w:r>
          </w:p>
        </w:tc>
        <w:tc>
          <w:tcPr>
            <w:tcW w:w="349" w:type="pct"/>
            <w:vMerge w:val="restart"/>
          </w:tcPr>
          <w:p w14:paraId="1B2BD09A" w14:textId="77777777" w:rsidR="005C0158" w:rsidRPr="00486EC5" w:rsidRDefault="005C0158" w:rsidP="004003A3">
            <w:pPr>
              <w:snapToGrid w:val="0"/>
              <w:spacing w:before="120" w:after="120"/>
              <w:jc w:val="center"/>
              <w:rPr>
                <w:rFonts w:asciiTheme="minorHAnsi" w:hAnsiTheme="minorHAnsi" w:cs="Calibri"/>
                <w:sz w:val="16"/>
                <w:szCs w:val="16"/>
              </w:rPr>
            </w:pPr>
            <w:r w:rsidRPr="00486EC5">
              <w:rPr>
                <w:rFonts w:asciiTheme="minorHAnsi" w:hAnsiTheme="minorHAnsi" w:cs="Calibri"/>
                <w:sz w:val="16"/>
                <w:szCs w:val="16"/>
              </w:rPr>
              <w:t>OXI</w:t>
            </w:r>
          </w:p>
        </w:tc>
        <w:tc>
          <w:tcPr>
            <w:tcW w:w="317" w:type="pct"/>
            <w:vMerge w:val="restart"/>
          </w:tcPr>
          <w:p w14:paraId="7AEE6967" w14:textId="77777777" w:rsidR="005C0158" w:rsidRPr="00486EC5" w:rsidRDefault="005C0158" w:rsidP="004003A3">
            <w:pPr>
              <w:snapToGrid w:val="0"/>
              <w:spacing w:before="120" w:after="120"/>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274E7CDF" w14:textId="77777777" w:rsidR="005C0158" w:rsidRPr="00486EC5" w:rsidRDefault="005C0158" w:rsidP="004003A3">
            <w:pPr>
              <w:snapToGrid w:val="0"/>
              <w:spacing w:before="120" w:after="120"/>
              <w:jc w:val="center"/>
              <w:rPr>
                <w:rFonts w:asciiTheme="minorHAnsi" w:hAnsiTheme="minorHAnsi" w:cs="Calibri"/>
                <w:sz w:val="16"/>
                <w:szCs w:val="16"/>
                <w:highlight w:val="yellow"/>
                <w:lang w:val="en-GB"/>
              </w:rPr>
            </w:pPr>
            <w:r w:rsidRPr="00486EC5">
              <w:rPr>
                <w:rFonts w:asciiTheme="minorHAnsi" w:hAnsiTheme="minorHAnsi" w:cs="Calibri"/>
                <w:sz w:val="16"/>
                <w:szCs w:val="16"/>
                <w:lang w:val="en-GB"/>
              </w:rPr>
              <w:t>31/01/2015</w:t>
            </w:r>
          </w:p>
        </w:tc>
        <w:tc>
          <w:tcPr>
            <w:tcW w:w="792" w:type="pct"/>
            <w:vMerge w:val="restart"/>
          </w:tcPr>
          <w:p w14:paraId="09193295"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των Κανονισμών Τελών από το Υπουργικό Συμβούλιο στις 21/12/2016.</w:t>
            </w:r>
          </w:p>
          <w:p w14:paraId="26B6411E"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δεν επιβεβαιώθηκε ακόμα από την Ευρωπαϊκή Επιτροπή.</w:t>
            </w:r>
          </w:p>
        </w:tc>
      </w:tr>
      <w:tr w:rsidR="005C0158" w:rsidRPr="00486EC5" w14:paraId="6D2F8329" w14:textId="77777777" w:rsidTr="004003A3">
        <w:trPr>
          <w:trHeight w:val="262"/>
          <w:jc w:val="center"/>
        </w:trPr>
        <w:tc>
          <w:tcPr>
            <w:tcW w:w="597" w:type="pct"/>
            <w:vMerge/>
            <w:shd w:val="clear" w:color="auto" w:fill="auto"/>
          </w:tcPr>
          <w:p w14:paraId="72158DF0" w14:textId="77777777" w:rsidR="005C0158" w:rsidRPr="00486EC5" w:rsidRDefault="005C0158" w:rsidP="004003A3">
            <w:pPr>
              <w:spacing w:before="120" w:after="120" w:line="240" w:lineRule="auto"/>
              <w:rPr>
                <w:rFonts w:asciiTheme="minorHAnsi" w:hAnsiTheme="minorHAnsi" w:cs="Calibri"/>
                <w:b/>
                <w:i/>
                <w:sz w:val="16"/>
                <w:szCs w:val="16"/>
                <w:lang w:val="el-GR"/>
              </w:rPr>
            </w:pPr>
          </w:p>
        </w:tc>
        <w:tc>
          <w:tcPr>
            <w:tcW w:w="599" w:type="pct"/>
            <w:vMerge/>
          </w:tcPr>
          <w:p w14:paraId="3FF3259A" w14:textId="77777777" w:rsidR="005C0158" w:rsidRPr="00486EC5" w:rsidRDefault="005C0158" w:rsidP="004003A3">
            <w:pPr>
              <w:spacing w:before="120" w:after="0" w:line="240" w:lineRule="auto"/>
              <w:rPr>
                <w:rFonts w:asciiTheme="minorHAnsi" w:hAnsiTheme="minorHAnsi" w:cs="Calibri"/>
                <w:sz w:val="16"/>
                <w:szCs w:val="16"/>
                <w:lang w:val="el-GR"/>
              </w:rPr>
            </w:pPr>
          </w:p>
        </w:tc>
        <w:tc>
          <w:tcPr>
            <w:tcW w:w="1190" w:type="pct"/>
          </w:tcPr>
          <w:p w14:paraId="6DF650B2" w14:textId="77777777" w:rsidR="005C0158" w:rsidRPr="00486EC5" w:rsidRDefault="005C0158" w:rsidP="004003A3">
            <w:pPr>
              <w:tabs>
                <w:tab w:val="left" w:pos="317"/>
              </w:tabs>
              <w:spacing w:before="120" w:after="0" w:line="240" w:lineRule="auto"/>
              <w:ind w:left="-16"/>
              <w:rPr>
                <w:rFonts w:asciiTheme="minorHAnsi" w:hAnsiTheme="minorHAnsi" w:cs="Calibri"/>
                <w:sz w:val="16"/>
                <w:szCs w:val="16"/>
                <w:lang w:val="el-GR"/>
              </w:rPr>
            </w:pPr>
            <w:r w:rsidRPr="00486EC5">
              <w:rPr>
                <w:rFonts w:asciiTheme="minorHAnsi" w:hAnsiTheme="minorHAnsi" w:cs="Calibri"/>
                <w:sz w:val="16"/>
                <w:szCs w:val="16"/>
                <w:lang w:val="el-GR"/>
              </w:rPr>
              <w:t>Υπολογισμός νέων τελών τιμολόγησης και ετοιμασία προσχεδίου πρότασης προς το Υπουργικό Συμβούλιο</w:t>
            </w:r>
          </w:p>
        </w:tc>
        <w:tc>
          <w:tcPr>
            <w:tcW w:w="375" w:type="pct"/>
          </w:tcPr>
          <w:p w14:paraId="1D82AF0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lang w:val="en-GB"/>
              </w:rPr>
              <w:t>30/04/</w:t>
            </w:r>
            <w:r w:rsidRPr="00486EC5">
              <w:rPr>
                <w:rFonts w:asciiTheme="minorHAnsi" w:hAnsiTheme="minorHAnsi" w:cs="Calibri"/>
                <w:sz w:val="16"/>
                <w:szCs w:val="16"/>
              </w:rPr>
              <w:t>2015</w:t>
            </w:r>
          </w:p>
        </w:tc>
        <w:tc>
          <w:tcPr>
            <w:tcW w:w="423" w:type="pct"/>
            <w:vMerge/>
          </w:tcPr>
          <w:p w14:paraId="39809A65"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49" w:type="pct"/>
            <w:vMerge/>
          </w:tcPr>
          <w:p w14:paraId="15AFF726"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17" w:type="pct"/>
            <w:vMerge/>
          </w:tcPr>
          <w:p w14:paraId="1AA93A35"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58" w:type="pct"/>
          </w:tcPr>
          <w:p w14:paraId="692ACF14" w14:textId="77777777" w:rsidR="005C0158" w:rsidRPr="00486EC5" w:rsidRDefault="005C0158" w:rsidP="004003A3">
            <w:pPr>
              <w:snapToGrid w:val="0"/>
              <w:spacing w:before="120" w:after="120"/>
              <w:jc w:val="center"/>
              <w:rPr>
                <w:rFonts w:asciiTheme="minorHAnsi" w:hAnsiTheme="minorHAnsi" w:cs="Calibri"/>
                <w:sz w:val="16"/>
                <w:szCs w:val="16"/>
              </w:rPr>
            </w:pPr>
            <w:r w:rsidRPr="00486EC5">
              <w:rPr>
                <w:rFonts w:asciiTheme="minorHAnsi" w:hAnsiTheme="minorHAnsi" w:cs="Calibri"/>
                <w:sz w:val="16"/>
                <w:szCs w:val="16"/>
              </w:rPr>
              <w:t>22/04/2015</w:t>
            </w:r>
          </w:p>
        </w:tc>
        <w:tc>
          <w:tcPr>
            <w:tcW w:w="792" w:type="pct"/>
            <w:vMerge/>
          </w:tcPr>
          <w:p w14:paraId="2A572B94" w14:textId="77777777" w:rsidR="005C0158" w:rsidRPr="00486EC5" w:rsidRDefault="005C0158" w:rsidP="004003A3">
            <w:pPr>
              <w:snapToGrid w:val="0"/>
              <w:spacing w:before="120" w:after="120"/>
              <w:rPr>
                <w:rFonts w:asciiTheme="minorHAnsi" w:hAnsiTheme="minorHAnsi" w:cs="Calibri"/>
                <w:sz w:val="16"/>
                <w:szCs w:val="16"/>
              </w:rPr>
            </w:pPr>
          </w:p>
        </w:tc>
      </w:tr>
      <w:tr w:rsidR="005C0158" w:rsidRPr="00486EC5" w14:paraId="43D93374" w14:textId="77777777" w:rsidTr="004003A3">
        <w:trPr>
          <w:trHeight w:val="560"/>
          <w:jc w:val="center"/>
        </w:trPr>
        <w:tc>
          <w:tcPr>
            <w:tcW w:w="597" w:type="pct"/>
            <w:vMerge/>
            <w:shd w:val="clear" w:color="auto" w:fill="auto"/>
          </w:tcPr>
          <w:p w14:paraId="52C7B727" w14:textId="77777777" w:rsidR="005C0158" w:rsidRPr="00486EC5" w:rsidRDefault="005C0158" w:rsidP="004003A3">
            <w:pPr>
              <w:spacing w:before="120" w:after="120" w:line="240" w:lineRule="auto"/>
              <w:rPr>
                <w:rFonts w:asciiTheme="minorHAnsi" w:hAnsiTheme="minorHAnsi" w:cs="Calibri"/>
                <w:b/>
                <w:i/>
                <w:sz w:val="16"/>
                <w:szCs w:val="16"/>
              </w:rPr>
            </w:pPr>
          </w:p>
        </w:tc>
        <w:tc>
          <w:tcPr>
            <w:tcW w:w="599" w:type="pct"/>
            <w:vMerge/>
          </w:tcPr>
          <w:p w14:paraId="52CA255D" w14:textId="77777777" w:rsidR="005C0158" w:rsidRPr="00486EC5" w:rsidRDefault="005C0158" w:rsidP="004003A3">
            <w:pPr>
              <w:spacing w:before="120" w:after="0" w:line="240" w:lineRule="auto"/>
              <w:rPr>
                <w:rFonts w:asciiTheme="minorHAnsi" w:hAnsiTheme="minorHAnsi" w:cs="Calibri"/>
                <w:sz w:val="16"/>
                <w:szCs w:val="16"/>
              </w:rPr>
            </w:pPr>
          </w:p>
        </w:tc>
        <w:tc>
          <w:tcPr>
            <w:tcW w:w="1190" w:type="pct"/>
          </w:tcPr>
          <w:p w14:paraId="30084497" w14:textId="77777777" w:rsidR="005C0158" w:rsidRPr="00486EC5" w:rsidRDefault="005C0158" w:rsidP="004003A3">
            <w:pPr>
              <w:tabs>
                <w:tab w:val="left" w:pos="317"/>
              </w:tabs>
              <w:spacing w:before="120" w:after="0" w:line="240" w:lineRule="auto"/>
              <w:ind w:left="-16"/>
              <w:rPr>
                <w:rFonts w:asciiTheme="minorHAnsi" w:hAnsiTheme="minorHAnsi" w:cs="Calibri"/>
                <w:sz w:val="16"/>
                <w:szCs w:val="16"/>
                <w:lang w:val="el-GR"/>
              </w:rPr>
            </w:pPr>
            <w:r w:rsidRPr="00486EC5">
              <w:rPr>
                <w:rFonts w:asciiTheme="minorHAnsi" w:hAnsiTheme="minorHAnsi" w:cs="Calibri"/>
                <w:sz w:val="16"/>
                <w:szCs w:val="16"/>
                <w:lang w:val="el-GR"/>
              </w:rPr>
              <w:t>Συζήτηση των Κανονισμών και διαβούλευση με τη Συμβουλευτική Επιτροπή Διαχείρισης Υδάτων (ΣΕΔΥ)</w:t>
            </w:r>
          </w:p>
        </w:tc>
        <w:tc>
          <w:tcPr>
            <w:tcW w:w="375" w:type="pct"/>
          </w:tcPr>
          <w:p w14:paraId="483C2C9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lang w:val="en-GB"/>
              </w:rPr>
              <w:t>31/05/2015</w:t>
            </w:r>
          </w:p>
        </w:tc>
        <w:tc>
          <w:tcPr>
            <w:tcW w:w="423" w:type="pct"/>
            <w:vMerge/>
          </w:tcPr>
          <w:p w14:paraId="4787B7F5"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49" w:type="pct"/>
            <w:vMerge/>
          </w:tcPr>
          <w:p w14:paraId="3CA90BB2"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17" w:type="pct"/>
            <w:vMerge/>
          </w:tcPr>
          <w:p w14:paraId="3C326F66"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58" w:type="pct"/>
          </w:tcPr>
          <w:p w14:paraId="75E87DAF" w14:textId="77777777" w:rsidR="005C0158" w:rsidRPr="00486EC5" w:rsidRDefault="005C0158" w:rsidP="004003A3">
            <w:pPr>
              <w:snapToGrid w:val="0"/>
              <w:spacing w:before="120" w:after="120"/>
              <w:jc w:val="center"/>
              <w:rPr>
                <w:rFonts w:asciiTheme="minorHAnsi" w:hAnsiTheme="minorHAnsi" w:cs="Calibri"/>
                <w:sz w:val="16"/>
                <w:szCs w:val="16"/>
              </w:rPr>
            </w:pPr>
            <w:r w:rsidRPr="00486EC5">
              <w:rPr>
                <w:rFonts w:asciiTheme="minorHAnsi" w:hAnsiTheme="minorHAnsi" w:cs="Calibri"/>
                <w:sz w:val="16"/>
                <w:szCs w:val="16"/>
                <w:lang w:val="en-GB"/>
              </w:rPr>
              <w:t>26/07/</w:t>
            </w:r>
            <w:r w:rsidRPr="00486EC5">
              <w:rPr>
                <w:rFonts w:asciiTheme="minorHAnsi" w:hAnsiTheme="minorHAnsi" w:cs="Calibri"/>
                <w:sz w:val="16"/>
                <w:szCs w:val="16"/>
              </w:rPr>
              <w:t>2016</w:t>
            </w:r>
          </w:p>
        </w:tc>
        <w:tc>
          <w:tcPr>
            <w:tcW w:w="792" w:type="pct"/>
            <w:vMerge/>
          </w:tcPr>
          <w:p w14:paraId="732A9669" w14:textId="77777777" w:rsidR="005C0158" w:rsidRPr="00486EC5" w:rsidRDefault="005C0158" w:rsidP="004003A3">
            <w:pPr>
              <w:snapToGrid w:val="0"/>
              <w:spacing w:before="120" w:after="120"/>
              <w:rPr>
                <w:rFonts w:asciiTheme="minorHAnsi" w:hAnsiTheme="minorHAnsi" w:cs="Calibri"/>
                <w:sz w:val="16"/>
                <w:szCs w:val="16"/>
              </w:rPr>
            </w:pPr>
          </w:p>
        </w:tc>
      </w:tr>
      <w:tr w:rsidR="005C0158" w:rsidRPr="00486EC5" w14:paraId="364B0C69" w14:textId="77777777" w:rsidTr="004003A3">
        <w:trPr>
          <w:trHeight w:val="560"/>
          <w:jc w:val="center"/>
        </w:trPr>
        <w:tc>
          <w:tcPr>
            <w:tcW w:w="597" w:type="pct"/>
            <w:vMerge/>
            <w:shd w:val="clear" w:color="auto" w:fill="auto"/>
          </w:tcPr>
          <w:p w14:paraId="7E97C5F9" w14:textId="77777777" w:rsidR="005C0158" w:rsidRPr="00486EC5" w:rsidRDefault="005C0158" w:rsidP="004003A3">
            <w:pPr>
              <w:spacing w:before="120" w:after="120" w:line="240" w:lineRule="auto"/>
              <w:rPr>
                <w:rFonts w:asciiTheme="minorHAnsi" w:hAnsiTheme="minorHAnsi" w:cs="Calibri"/>
                <w:b/>
                <w:i/>
                <w:sz w:val="16"/>
                <w:szCs w:val="16"/>
              </w:rPr>
            </w:pPr>
          </w:p>
        </w:tc>
        <w:tc>
          <w:tcPr>
            <w:tcW w:w="599" w:type="pct"/>
            <w:vMerge/>
          </w:tcPr>
          <w:p w14:paraId="1F92E3AF" w14:textId="77777777" w:rsidR="005C0158" w:rsidRPr="00486EC5" w:rsidRDefault="005C0158" w:rsidP="004003A3">
            <w:pPr>
              <w:spacing w:before="120" w:after="0" w:line="240" w:lineRule="auto"/>
              <w:rPr>
                <w:rFonts w:asciiTheme="minorHAnsi" w:hAnsiTheme="minorHAnsi" w:cs="Calibri"/>
                <w:sz w:val="16"/>
                <w:szCs w:val="16"/>
              </w:rPr>
            </w:pPr>
          </w:p>
        </w:tc>
        <w:tc>
          <w:tcPr>
            <w:tcW w:w="1190" w:type="pct"/>
          </w:tcPr>
          <w:p w14:paraId="61357EB9" w14:textId="77777777" w:rsidR="005C0158" w:rsidRPr="00486EC5" w:rsidRDefault="005C0158" w:rsidP="004003A3">
            <w:pPr>
              <w:tabs>
                <w:tab w:val="left" w:pos="317"/>
              </w:tabs>
              <w:spacing w:before="120" w:after="0" w:line="240" w:lineRule="auto"/>
              <w:ind w:left="-16"/>
              <w:rPr>
                <w:rFonts w:asciiTheme="minorHAnsi" w:hAnsiTheme="minorHAnsi" w:cs="Calibri"/>
                <w:sz w:val="16"/>
                <w:szCs w:val="16"/>
                <w:lang w:val="el-GR"/>
              </w:rPr>
            </w:pPr>
            <w:r w:rsidRPr="00486EC5">
              <w:rPr>
                <w:rFonts w:asciiTheme="minorHAnsi" w:hAnsiTheme="minorHAnsi" w:cs="Calibri"/>
                <w:sz w:val="16"/>
                <w:szCs w:val="16"/>
                <w:lang w:val="el-GR"/>
              </w:rPr>
              <w:t>Απόφαση του Υπουργικού Συμβουλίου με τους Κανονισμούς Τελών (για τα νέα τέλη)</w:t>
            </w:r>
          </w:p>
        </w:tc>
        <w:tc>
          <w:tcPr>
            <w:tcW w:w="375" w:type="pct"/>
          </w:tcPr>
          <w:p w14:paraId="5C4B6A5A"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lang w:val="en-GB"/>
              </w:rPr>
              <w:t>30/06/</w:t>
            </w:r>
            <w:r w:rsidRPr="00486EC5">
              <w:rPr>
                <w:rFonts w:asciiTheme="minorHAnsi" w:hAnsiTheme="minorHAnsi" w:cs="Calibri"/>
                <w:sz w:val="16"/>
                <w:szCs w:val="16"/>
              </w:rPr>
              <w:t>2015</w:t>
            </w:r>
          </w:p>
          <w:p w14:paraId="543BF528"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423" w:type="pct"/>
            <w:vMerge/>
          </w:tcPr>
          <w:p w14:paraId="1B38E00B"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49" w:type="pct"/>
            <w:vMerge/>
          </w:tcPr>
          <w:p w14:paraId="6FF7B7AC"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17" w:type="pct"/>
            <w:vMerge/>
          </w:tcPr>
          <w:p w14:paraId="0D4E2BBC"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58" w:type="pct"/>
          </w:tcPr>
          <w:p w14:paraId="0AF094A8" w14:textId="77777777" w:rsidR="005C0158" w:rsidRPr="00486EC5" w:rsidRDefault="005C0158" w:rsidP="004003A3">
            <w:pPr>
              <w:snapToGrid w:val="0"/>
              <w:spacing w:before="120" w:after="120"/>
              <w:jc w:val="center"/>
              <w:rPr>
                <w:rFonts w:asciiTheme="minorHAnsi" w:hAnsiTheme="minorHAnsi" w:cs="Calibri"/>
                <w:sz w:val="16"/>
                <w:szCs w:val="16"/>
              </w:rPr>
            </w:pPr>
            <w:r w:rsidRPr="00486EC5">
              <w:rPr>
                <w:rFonts w:asciiTheme="minorHAnsi" w:hAnsiTheme="minorHAnsi" w:cs="Calibri"/>
                <w:sz w:val="16"/>
                <w:szCs w:val="16"/>
              </w:rPr>
              <w:t>21/12/2016</w:t>
            </w:r>
          </w:p>
        </w:tc>
        <w:tc>
          <w:tcPr>
            <w:tcW w:w="792" w:type="pct"/>
            <w:vMerge/>
          </w:tcPr>
          <w:p w14:paraId="4A839DD7" w14:textId="77777777" w:rsidR="005C0158" w:rsidRPr="00486EC5" w:rsidRDefault="005C0158" w:rsidP="004003A3">
            <w:pPr>
              <w:snapToGrid w:val="0"/>
              <w:spacing w:before="120" w:after="120"/>
              <w:rPr>
                <w:rFonts w:asciiTheme="minorHAnsi" w:hAnsiTheme="minorHAnsi" w:cs="Calibri"/>
                <w:sz w:val="16"/>
                <w:szCs w:val="16"/>
              </w:rPr>
            </w:pPr>
          </w:p>
        </w:tc>
      </w:tr>
      <w:tr w:rsidR="005C0158" w:rsidRPr="00486EC5" w14:paraId="1A623473" w14:textId="77777777" w:rsidTr="004003A3">
        <w:trPr>
          <w:trHeight w:val="335"/>
          <w:jc w:val="center"/>
        </w:trPr>
        <w:tc>
          <w:tcPr>
            <w:tcW w:w="597" w:type="pct"/>
            <w:vMerge/>
            <w:shd w:val="clear" w:color="auto" w:fill="auto"/>
          </w:tcPr>
          <w:p w14:paraId="7827E0AC" w14:textId="77777777" w:rsidR="005C0158" w:rsidRPr="00486EC5" w:rsidRDefault="005C0158" w:rsidP="004003A3">
            <w:pPr>
              <w:spacing w:before="120" w:after="120" w:line="240" w:lineRule="auto"/>
              <w:rPr>
                <w:rFonts w:asciiTheme="minorHAnsi" w:hAnsiTheme="minorHAnsi" w:cs="Calibri"/>
                <w:b/>
                <w:i/>
                <w:sz w:val="16"/>
                <w:szCs w:val="16"/>
              </w:rPr>
            </w:pPr>
            <w:bookmarkStart w:id="23" w:name="_Hlk481998802"/>
            <w:bookmarkEnd w:id="22"/>
          </w:p>
        </w:tc>
        <w:tc>
          <w:tcPr>
            <w:tcW w:w="599" w:type="pct"/>
            <w:vMerge w:val="restart"/>
          </w:tcPr>
          <w:p w14:paraId="2CE32018"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2 - Έχει εγκριθεί σχέδιο διαχείρισης λεκάνης απορροής ποταμού για την περιοχή λεκάνης ποταμού, σύμφωνα </w:t>
            </w:r>
            <w:r w:rsidRPr="00486EC5">
              <w:rPr>
                <w:rFonts w:asciiTheme="minorHAnsi" w:hAnsiTheme="minorHAnsi" w:cs="Calibri"/>
                <w:sz w:val="16"/>
                <w:szCs w:val="16"/>
                <w:lang w:val="el-GR"/>
              </w:rPr>
              <w:lastRenderedPageBreak/>
              <w:t>με το άρθρο 13 της Οδηγίας 2000/60/ΕΚ</w:t>
            </w:r>
          </w:p>
        </w:tc>
        <w:tc>
          <w:tcPr>
            <w:tcW w:w="1190" w:type="pct"/>
          </w:tcPr>
          <w:p w14:paraId="20530B11" w14:textId="77777777" w:rsidR="005C0158" w:rsidRPr="00486EC5" w:rsidRDefault="005C0158" w:rsidP="004003A3">
            <w:pPr>
              <w:spacing w:before="120" w:after="0" w:line="240" w:lineRule="auto"/>
              <w:ind w:left="-17"/>
              <w:rPr>
                <w:rFonts w:asciiTheme="minorHAnsi" w:hAnsiTheme="minorHAnsi" w:cs="Calibri"/>
                <w:sz w:val="16"/>
                <w:szCs w:val="16"/>
                <w:lang w:val="el-GR"/>
              </w:rPr>
            </w:pPr>
            <w:r w:rsidRPr="00486EC5">
              <w:rPr>
                <w:rFonts w:asciiTheme="minorHAnsi" w:hAnsiTheme="minorHAnsi" w:cs="Calibri"/>
                <w:sz w:val="16"/>
                <w:szCs w:val="16"/>
                <w:lang w:val="el-GR"/>
              </w:rPr>
              <w:lastRenderedPageBreak/>
              <w:t>Έναρξη 6μηνης διαβούλευσης για το άρθρο 14(1)(β) της Οδηγίας Πλαίσιο περί Υδάτων(ΟΠΥ) για τα σημαντικά ζητήματα διαχείρισης των νερών στην Κύπρο και επικαιροποίηση του άρθρου 5 της ΟΠΥ για τις πιέσεις και επιπτώσεις</w:t>
            </w:r>
          </w:p>
        </w:tc>
        <w:tc>
          <w:tcPr>
            <w:tcW w:w="375" w:type="pct"/>
          </w:tcPr>
          <w:p w14:paraId="2CDC568E"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30/6/2014</w:t>
            </w:r>
          </w:p>
        </w:tc>
        <w:tc>
          <w:tcPr>
            <w:tcW w:w="423" w:type="pct"/>
            <w:vMerge w:val="restart"/>
          </w:tcPr>
          <w:p w14:paraId="1BF15516"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 xml:space="preserve">Τμήμα Περιβάλλοντος, Υπουργείο Γεωργίας, Φυσικών Πόρων και </w:t>
            </w:r>
            <w:r w:rsidRPr="00486EC5">
              <w:rPr>
                <w:rFonts w:asciiTheme="minorHAnsi" w:hAnsiTheme="minorHAnsi" w:cs="Calibri"/>
                <w:sz w:val="16"/>
                <w:szCs w:val="16"/>
                <w:lang w:val="el-GR"/>
              </w:rPr>
              <w:lastRenderedPageBreak/>
              <w:t>Περιβάλλοντος/ Υπουργικό Συμβούλιο</w:t>
            </w:r>
          </w:p>
        </w:tc>
        <w:tc>
          <w:tcPr>
            <w:tcW w:w="349" w:type="pct"/>
            <w:vMerge w:val="restart"/>
          </w:tcPr>
          <w:p w14:paraId="1459FC1F"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lastRenderedPageBreak/>
              <w:t>ΟΧΙ</w:t>
            </w:r>
          </w:p>
        </w:tc>
        <w:tc>
          <w:tcPr>
            <w:tcW w:w="317" w:type="pct"/>
            <w:vMerge w:val="restart"/>
          </w:tcPr>
          <w:p w14:paraId="5B29DD8B" w14:textId="77777777" w:rsidR="005C0158" w:rsidRPr="00486EC5" w:rsidRDefault="005C0158" w:rsidP="004003A3">
            <w:pPr>
              <w:snapToGrid w:val="0"/>
              <w:spacing w:before="120" w:after="120"/>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702504BF" w14:textId="77777777" w:rsidR="005C0158" w:rsidRPr="00486EC5" w:rsidRDefault="005C0158" w:rsidP="004003A3">
            <w:pPr>
              <w:snapToGrid w:val="0"/>
              <w:spacing w:before="120" w:after="120"/>
              <w:jc w:val="center"/>
              <w:rPr>
                <w:rFonts w:asciiTheme="minorHAnsi" w:hAnsiTheme="minorHAnsi" w:cs="Calibri"/>
                <w:sz w:val="16"/>
                <w:szCs w:val="16"/>
              </w:rPr>
            </w:pPr>
            <w:r w:rsidRPr="00486EC5">
              <w:rPr>
                <w:rFonts w:asciiTheme="minorHAnsi" w:hAnsiTheme="minorHAnsi" w:cs="Calibri"/>
                <w:sz w:val="16"/>
                <w:szCs w:val="16"/>
              </w:rPr>
              <w:t>06/06/2014</w:t>
            </w:r>
          </w:p>
        </w:tc>
        <w:tc>
          <w:tcPr>
            <w:tcW w:w="792" w:type="pct"/>
            <w:vMerge w:val="restart"/>
          </w:tcPr>
          <w:p w14:paraId="5733F8C3"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του Σχεδίου Λεκάνης Απορροής Ποταμού από το Υπουργικό Συμβούλιο στις 7/10/2016.</w:t>
            </w:r>
          </w:p>
          <w:p w14:paraId="7FDB47E6"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lastRenderedPageBreak/>
              <w:t>Η εκπλήρωση δεν επιβεβαιώθηκε ακόμα από την Ευρωπαϊκή Επιτροπή.</w:t>
            </w:r>
          </w:p>
        </w:tc>
      </w:tr>
      <w:tr w:rsidR="005C0158" w:rsidRPr="00486EC5" w14:paraId="640E33A9" w14:textId="77777777" w:rsidTr="004003A3">
        <w:trPr>
          <w:trHeight w:val="560"/>
          <w:jc w:val="center"/>
        </w:trPr>
        <w:tc>
          <w:tcPr>
            <w:tcW w:w="597" w:type="pct"/>
            <w:vMerge/>
            <w:shd w:val="clear" w:color="auto" w:fill="auto"/>
          </w:tcPr>
          <w:p w14:paraId="4482D6DA" w14:textId="77777777" w:rsidR="005C0158" w:rsidRPr="00486EC5" w:rsidRDefault="005C0158" w:rsidP="004003A3">
            <w:pPr>
              <w:spacing w:before="120" w:after="120" w:line="240" w:lineRule="auto"/>
              <w:rPr>
                <w:rFonts w:asciiTheme="minorHAnsi" w:hAnsiTheme="minorHAnsi" w:cs="Calibri"/>
                <w:b/>
                <w:i/>
                <w:sz w:val="16"/>
                <w:szCs w:val="16"/>
                <w:lang w:val="el-GR"/>
              </w:rPr>
            </w:pPr>
          </w:p>
        </w:tc>
        <w:tc>
          <w:tcPr>
            <w:tcW w:w="599" w:type="pct"/>
            <w:vMerge/>
          </w:tcPr>
          <w:p w14:paraId="6A793013" w14:textId="77777777" w:rsidR="005C0158" w:rsidRPr="00486EC5" w:rsidRDefault="005C0158" w:rsidP="004003A3">
            <w:pPr>
              <w:spacing w:before="120" w:after="0" w:line="240" w:lineRule="auto"/>
              <w:rPr>
                <w:rFonts w:asciiTheme="minorHAnsi" w:hAnsiTheme="minorHAnsi" w:cs="Calibri"/>
                <w:sz w:val="16"/>
                <w:szCs w:val="16"/>
                <w:lang w:val="el-GR"/>
              </w:rPr>
            </w:pPr>
          </w:p>
        </w:tc>
        <w:tc>
          <w:tcPr>
            <w:tcW w:w="1190" w:type="pct"/>
          </w:tcPr>
          <w:p w14:paraId="463642A9" w14:textId="77777777" w:rsidR="005C0158" w:rsidRPr="00486EC5" w:rsidRDefault="005C0158" w:rsidP="004003A3">
            <w:pPr>
              <w:spacing w:before="120" w:after="0" w:line="240" w:lineRule="auto"/>
              <w:ind w:left="-17"/>
              <w:rPr>
                <w:rFonts w:asciiTheme="minorHAnsi" w:hAnsiTheme="minorHAnsi" w:cs="Calibri"/>
                <w:sz w:val="16"/>
                <w:szCs w:val="16"/>
                <w:lang w:val="el-GR"/>
              </w:rPr>
            </w:pPr>
            <w:r w:rsidRPr="00486EC5">
              <w:rPr>
                <w:rFonts w:asciiTheme="minorHAnsi" w:hAnsiTheme="minorHAnsi" w:cs="Calibri"/>
                <w:sz w:val="16"/>
                <w:szCs w:val="16"/>
                <w:lang w:val="el-GR"/>
              </w:rPr>
              <w:t>Προκήρυξη διαγωνισμού για τον καταρτισμό του 2</w:t>
            </w:r>
            <w:r w:rsidRPr="00486EC5">
              <w:rPr>
                <w:rFonts w:asciiTheme="minorHAnsi" w:hAnsiTheme="minorHAnsi" w:cs="Calibri"/>
                <w:sz w:val="16"/>
                <w:szCs w:val="16"/>
                <w:vertAlign w:val="superscript"/>
                <w:lang w:val="el-GR"/>
              </w:rPr>
              <w:t>ου</w:t>
            </w:r>
            <w:r w:rsidRPr="00486EC5">
              <w:rPr>
                <w:rFonts w:asciiTheme="minorHAnsi" w:hAnsiTheme="minorHAnsi" w:cs="Calibri"/>
                <w:sz w:val="16"/>
                <w:szCs w:val="16"/>
                <w:lang w:val="el-GR"/>
              </w:rPr>
              <w:t xml:space="preserve"> Σχεδίου Διαχείρισης Λεκάνης Απορροής Ποταμού (ΣΔΛΑΠ)</w:t>
            </w:r>
          </w:p>
        </w:tc>
        <w:tc>
          <w:tcPr>
            <w:tcW w:w="375" w:type="pct"/>
          </w:tcPr>
          <w:p w14:paraId="2AA82D9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30/11/2014</w:t>
            </w:r>
          </w:p>
          <w:p w14:paraId="10EA4F7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423" w:type="pct"/>
            <w:vMerge/>
          </w:tcPr>
          <w:p w14:paraId="07F7CFB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tcPr>
          <w:p w14:paraId="48E7810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tcPr>
          <w:p w14:paraId="744CFD0B"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58" w:type="pct"/>
          </w:tcPr>
          <w:p w14:paraId="48948E99" w14:textId="77777777" w:rsidR="005C0158" w:rsidRPr="00486EC5" w:rsidRDefault="005C0158" w:rsidP="004003A3">
            <w:pPr>
              <w:snapToGrid w:val="0"/>
              <w:spacing w:before="120" w:after="120"/>
              <w:jc w:val="center"/>
              <w:rPr>
                <w:rFonts w:asciiTheme="minorHAnsi" w:hAnsiTheme="minorHAnsi" w:cs="Calibri"/>
                <w:sz w:val="16"/>
                <w:szCs w:val="16"/>
              </w:rPr>
            </w:pPr>
            <w:r w:rsidRPr="00486EC5">
              <w:rPr>
                <w:rFonts w:asciiTheme="minorHAnsi" w:hAnsiTheme="minorHAnsi" w:cs="Calibri"/>
                <w:sz w:val="16"/>
                <w:szCs w:val="16"/>
              </w:rPr>
              <w:t>18/11/2014</w:t>
            </w:r>
          </w:p>
        </w:tc>
        <w:tc>
          <w:tcPr>
            <w:tcW w:w="792" w:type="pct"/>
            <w:vMerge/>
          </w:tcPr>
          <w:p w14:paraId="062F6A50" w14:textId="77777777" w:rsidR="005C0158" w:rsidRPr="00486EC5" w:rsidRDefault="005C0158" w:rsidP="004003A3">
            <w:pPr>
              <w:snapToGrid w:val="0"/>
              <w:spacing w:before="120" w:after="120"/>
              <w:rPr>
                <w:rFonts w:asciiTheme="minorHAnsi" w:hAnsiTheme="minorHAnsi" w:cs="Calibri"/>
                <w:sz w:val="16"/>
                <w:szCs w:val="16"/>
              </w:rPr>
            </w:pPr>
          </w:p>
        </w:tc>
      </w:tr>
      <w:tr w:rsidR="005C0158" w:rsidRPr="00486EC5" w14:paraId="5B02120C" w14:textId="77777777" w:rsidTr="004003A3">
        <w:trPr>
          <w:trHeight w:val="175"/>
          <w:jc w:val="center"/>
        </w:trPr>
        <w:tc>
          <w:tcPr>
            <w:tcW w:w="597" w:type="pct"/>
            <w:vMerge/>
            <w:shd w:val="clear" w:color="auto" w:fill="auto"/>
          </w:tcPr>
          <w:p w14:paraId="0FE0C7DE" w14:textId="77777777" w:rsidR="005C0158" w:rsidRPr="00486EC5" w:rsidRDefault="005C0158" w:rsidP="004003A3">
            <w:pPr>
              <w:spacing w:before="120" w:after="120" w:line="240" w:lineRule="auto"/>
              <w:rPr>
                <w:rFonts w:asciiTheme="minorHAnsi" w:hAnsiTheme="minorHAnsi" w:cs="Calibri"/>
                <w:b/>
                <w:i/>
                <w:sz w:val="16"/>
                <w:szCs w:val="16"/>
              </w:rPr>
            </w:pPr>
          </w:p>
        </w:tc>
        <w:tc>
          <w:tcPr>
            <w:tcW w:w="599" w:type="pct"/>
            <w:vMerge/>
          </w:tcPr>
          <w:p w14:paraId="3D605196" w14:textId="77777777" w:rsidR="005C0158" w:rsidRPr="00486EC5" w:rsidRDefault="005C0158" w:rsidP="004003A3">
            <w:pPr>
              <w:spacing w:before="120" w:after="0" w:line="240" w:lineRule="auto"/>
              <w:rPr>
                <w:rFonts w:asciiTheme="minorHAnsi" w:hAnsiTheme="minorHAnsi" w:cs="Calibri"/>
                <w:sz w:val="16"/>
                <w:szCs w:val="16"/>
              </w:rPr>
            </w:pPr>
          </w:p>
        </w:tc>
        <w:tc>
          <w:tcPr>
            <w:tcW w:w="1190" w:type="pct"/>
          </w:tcPr>
          <w:p w14:paraId="3326BB57" w14:textId="77777777" w:rsidR="005C0158" w:rsidRPr="00486EC5" w:rsidRDefault="005C0158" w:rsidP="004003A3">
            <w:pPr>
              <w:spacing w:before="120" w:after="0" w:line="240" w:lineRule="auto"/>
              <w:ind w:left="-17"/>
              <w:rPr>
                <w:rFonts w:asciiTheme="minorHAnsi" w:hAnsiTheme="minorHAnsi" w:cs="Calibri"/>
                <w:sz w:val="16"/>
                <w:szCs w:val="16"/>
                <w:lang w:val="el-GR"/>
              </w:rPr>
            </w:pPr>
            <w:r w:rsidRPr="00486EC5">
              <w:rPr>
                <w:rFonts w:asciiTheme="minorHAnsi" w:hAnsiTheme="minorHAnsi" w:cs="Calibri"/>
                <w:sz w:val="16"/>
                <w:szCs w:val="16"/>
                <w:lang w:val="el-GR"/>
              </w:rPr>
              <w:t>Κατακύρωση σύμβασης του διαγωνισμού για ΣΔΛΑΠ και έναρξη υλοποίησης σύμβασης</w:t>
            </w:r>
          </w:p>
        </w:tc>
        <w:tc>
          <w:tcPr>
            <w:tcW w:w="375" w:type="pct"/>
          </w:tcPr>
          <w:p w14:paraId="6FEDB5E5"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31/03/2015</w:t>
            </w:r>
          </w:p>
        </w:tc>
        <w:tc>
          <w:tcPr>
            <w:tcW w:w="423" w:type="pct"/>
            <w:vMerge/>
          </w:tcPr>
          <w:p w14:paraId="0D68025D"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tcPr>
          <w:p w14:paraId="6A2F5A1D"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tcPr>
          <w:p w14:paraId="35A0EA72"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58" w:type="pct"/>
          </w:tcPr>
          <w:p w14:paraId="794EDE11" w14:textId="77777777" w:rsidR="005C0158" w:rsidRPr="00486EC5" w:rsidRDefault="005C0158" w:rsidP="004003A3">
            <w:pPr>
              <w:snapToGrid w:val="0"/>
              <w:spacing w:before="120" w:after="120"/>
              <w:jc w:val="center"/>
              <w:rPr>
                <w:rFonts w:asciiTheme="minorHAnsi" w:hAnsiTheme="minorHAnsi" w:cs="Calibri"/>
                <w:sz w:val="16"/>
                <w:szCs w:val="16"/>
              </w:rPr>
            </w:pPr>
            <w:r w:rsidRPr="00486EC5">
              <w:rPr>
                <w:rFonts w:asciiTheme="minorHAnsi" w:hAnsiTheme="minorHAnsi" w:cs="Calibri"/>
                <w:sz w:val="16"/>
                <w:szCs w:val="16"/>
              </w:rPr>
              <w:t>18/05/2015</w:t>
            </w:r>
          </w:p>
        </w:tc>
        <w:tc>
          <w:tcPr>
            <w:tcW w:w="792" w:type="pct"/>
            <w:vMerge/>
          </w:tcPr>
          <w:p w14:paraId="61AA3D64" w14:textId="77777777" w:rsidR="005C0158" w:rsidRPr="00486EC5" w:rsidRDefault="005C0158" w:rsidP="004003A3">
            <w:pPr>
              <w:snapToGrid w:val="0"/>
              <w:spacing w:before="120" w:after="120"/>
              <w:rPr>
                <w:rFonts w:asciiTheme="minorHAnsi" w:hAnsiTheme="minorHAnsi" w:cs="Calibri"/>
                <w:sz w:val="16"/>
                <w:szCs w:val="16"/>
              </w:rPr>
            </w:pPr>
          </w:p>
        </w:tc>
      </w:tr>
      <w:tr w:rsidR="005C0158" w:rsidRPr="00486EC5" w14:paraId="35CE0EF2" w14:textId="77777777" w:rsidTr="004003A3">
        <w:trPr>
          <w:trHeight w:val="196"/>
          <w:jc w:val="center"/>
        </w:trPr>
        <w:tc>
          <w:tcPr>
            <w:tcW w:w="597" w:type="pct"/>
            <w:vMerge/>
            <w:shd w:val="clear" w:color="auto" w:fill="auto"/>
          </w:tcPr>
          <w:p w14:paraId="797B45B3" w14:textId="77777777" w:rsidR="005C0158" w:rsidRPr="00486EC5" w:rsidRDefault="005C0158" w:rsidP="004003A3">
            <w:pPr>
              <w:spacing w:before="120" w:after="120" w:line="240" w:lineRule="auto"/>
              <w:rPr>
                <w:rFonts w:asciiTheme="minorHAnsi" w:hAnsiTheme="minorHAnsi" w:cs="Calibri"/>
                <w:b/>
                <w:i/>
                <w:sz w:val="16"/>
                <w:szCs w:val="16"/>
              </w:rPr>
            </w:pPr>
          </w:p>
        </w:tc>
        <w:tc>
          <w:tcPr>
            <w:tcW w:w="599" w:type="pct"/>
            <w:vMerge/>
          </w:tcPr>
          <w:p w14:paraId="092DE116" w14:textId="77777777" w:rsidR="005C0158" w:rsidRPr="00486EC5" w:rsidRDefault="005C0158" w:rsidP="004003A3">
            <w:pPr>
              <w:spacing w:before="120" w:after="0" w:line="240" w:lineRule="auto"/>
              <w:rPr>
                <w:rFonts w:asciiTheme="minorHAnsi" w:hAnsiTheme="minorHAnsi" w:cs="Calibri"/>
                <w:sz w:val="16"/>
                <w:szCs w:val="16"/>
              </w:rPr>
            </w:pPr>
          </w:p>
        </w:tc>
        <w:tc>
          <w:tcPr>
            <w:tcW w:w="1190" w:type="pct"/>
          </w:tcPr>
          <w:p w14:paraId="4020C29D" w14:textId="77777777" w:rsidR="005C0158" w:rsidRPr="00486EC5" w:rsidRDefault="005C0158" w:rsidP="004003A3">
            <w:pPr>
              <w:spacing w:before="120" w:after="0" w:line="240" w:lineRule="auto"/>
              <w:ind w:left="-17"/>
              <w:rPr>
                <w:rFonts w:asciiTheme="minorHAnsi" w:hAnsiTheme="minorHAnsi" w:cs="Calibri"/>
                <w:sz w:val="16"/>
                <w:szCs w:val="16"/>
                <w:lang w:val="el-GR"/>
              </w:rPr>
            </w:pPr>
            <w:r w:rsidRPr="00486EC5">
              <w:rPr>
                <w:rFonts w:asciiTheme="minorHAnsi" w:hAnsiTheme="minorHAnsi" w:cs="Calibri"/>
                <w:sz w:val="16"/>
                <w:szCs w:val="16"/>
                <w:lang w:val="el-GR"/>
              </w:rPr>
              <w:t>Ολοκλήρωση δημόσιας διαβούλευσης για το νέο ΣΔΛΑΠ</w:t>
            </w:r>
          </w:p>
        </w:tc>
        <w:tc>
          <w:tcPr>
            <w:tcW w:w="375" w:type="pct"/>
          </w:tcPr>
          <w:p w14:paraId="43D6CEA9" w14:textId="77777777" w:rsidR="005C0158" w:rsidRPr="00486EC5" w:rsidDel="00AD5432"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10/12/2015</w:t>
            </w:r>
          </w:p>
        </w:tc>
        <w:tc>
          <w:tcPr>
            <w:tcW w:w="423" w:type="pct"/>
            <w:vMerge/>
          </w:tcPr>
          <w:p w14:paraId="22C30A2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tcPr>
          <w:p w14:paraId="2F685A9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tcPr>
          <w:p w14:paraId="516770EC"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tcPr>
          <w:p w14:paraId="0863FE6E"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20/02/2016</w:t>
            </w:r>
          </w:p>
        </w:tc>
        <w:tc>
          <w:tcPr>
            <w:tcW w:w="792" w:type="pct"/>
            <w:vMerge/>
          </w:tcPr>
          <w:p w14:paraId="7F247CA0" w14:textId="77777777" w:rsidR="005C0158" w:rsidRPr="00486EC5" w:rsidRDefault="005C0158" w:rsidP="004003A3">
            <w:pPr>
              <w:snapToGrid w:val="0"/>
              <w:spacing w:before="120" w:after="0" w:line="240" w:lineRule="auto"/>
              <w:rPr>
                <w:rFonts w:asciiTheme="minorHAnsi" w:hAnsiTheme="minorHAnsi" w:cs="Calibri"/>
                <w:sz w:val="16"/>
                <w:szCs w:val="16"/>
              </w:rPr>
            </w:pPr>
          </w:p>
        </w:tc>
      </w:tr>
      <w:tr w:rsidR="005C0158" w:rsidRPr="00486EC5" w14:paraId="2FCE33F3" w14:textId="77777777" w:rsidTr="004003A3">
        <w:trPr>
          <w:trHeight w:val="133"/>
          <w:jc w:val="center"/>
        </w:trPr>
        <w:tc>
          <w:tcPr>
            <w:tcW w:w="597" w:type="pct"/>
            <w:vMerge/>
            <w:shd w:val="clear" w:color="auto" w:fill="auto"/>
          </w:tcPr>
          <w:p w14:paraId="3D202777" w14:textId="77777777" w:rsidR="005C0158" w:rsidRPr="00486EC5" w:rsidRDefault="005C0158" w:rsidP="004003A3">
            <w:pPr>
              <w:spacing w:before="120" w:after="120" w:line="240" w:lineRule="auto"/>
              <w:rPr>
                <w:rFonts w:asciiTheme="minorHAnsi" w:hAnsiTheme="minorHAnsi" w:cs="Calibri"/>
                <w:b/>
                <w:i/>
                <w:sz w:val="16"/>
                <w:szCs w:val="16"/>
              </w:rPr>
            </w:pPr>
          </w:p>
        </w:tc>
        <w:tc>
          <w:tcPr>
            <w:tcW w:w="599" w:type="pct"/>
            <w:vMerge/>
          </w:tcPr>
          <w:p w14:paraId="1596D9FF" w14:textId="77777777" w:rsidR="005C0158" w:rsidRPr="00486EC5" w:rsidRDefault="005C0158" w:rsidP="004003A3">
            <w:pPr>
              <w:spacing w:before="120" w:after="0" w:line="240" w:lineRule="auto"/>
              <w:rPr>
                <w:rFonts w:asciiTheme="minorHAnsi" w:hAnsiTheme="minorHAnsi" w:cs="Calibri"/>
                <w:sz w:val="16"/>
                <w:szCs w:val="16"/>
              </w:rPr>
            </w:pPr>
          </w:p>
        </w:tc>
        <w:tc>
          <w:tcPr>
            <w:tcW w:w="1190" w:type="pct"/>
          </w:tcPr>
          <w:p w14:paraId="5735D657" w14:textId="77777777" w:rsidR="005C0158" w:rsidRPr="00486EC5" w:rsidRDefault="005C0158" w:rsidP="004003A3">
            <w:pPr>
              <w:spacing w:before="120" w:after="0" w:line="240" w:lineRule="auto"/>
              <w:ind w:left="-17"/>
              <w:rPr>
                <w:rFonts w:asciiTheme="minorHAnsi" w:hAnsiTheme="minorHAnsi" w:cs="Calibri"/>
                <w:sz w:val="16"/>
                <w:szCs w:val="16"/>
                <w:lang w:val="el-GR"/>
              </w:rPr>
            </w:pPr>
            <w:r w:rsidRPr="00486EC5">
              <w:rPr>
                <w:rFonts w:asciiTheme="minorHAnsi" w:hAnsiTheme="minorHAnsi" w:cs="Calibri"/>
                <w:sz w:val="16"/>
                <w:szCs w:val="16"/>
                <w:lang w:val="el-GR"/>
              </w:rPr>
              <w:t>Έγκριση ΣΔΛΑΠ από το Υπουργικό Συμβούλιο</w:t>
            </w:r>
          </w:p>
        </w:tc>
        <w:tc>
          <w:tcPr>
            <w:tcW w:w="375" w:type="pct"/>
          </w:tcPr>
          <w:p w14:paraId="476CA51E"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22/12/2015</w:t>
            </w:r>
          </w:p>
        </w:tc>
        <w:tc>
          <w:tcPr>
            <w:tcW w:w="423" w:type="pct"/>
            <w:vMerge/>
          </w:tcPr>
          <w:p w14:paraId="2E073DC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tcPr>
          <w:p w14:paraId="66D8BE06"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tcPr>
          <w:p w14:paraId="23FECCC4"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tcPr>
          <w:p w14:paraId="010233DA"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07/10/2016</w:t>
            </w:r>
          </w:p>
        </w:tc>
        <w:tc>
          <w:tcPr>
            <w:tcW w:w="792" w:type="pct"/>
            <w:vMerge/>
          </w:tcPr>
          <w:p w14:paraId="4C8BF1F5" w14:textId="77777777" w:rsidR="005C0158" w:rsidRPr="00486EC5" w:rsidRDefault="005C0158" w:rsidP="004003A3">
            <w:pPr>
              <w:snapToGrid w:val="0"/>
              <w:spacing w:before="120" w:after="0" w:line="240" w:lineRule="auto"/>
              <w:rPr>
                <w:rFonts w:asciiTheme="minorHAnsi" w:hAnsiTheme="minorHAnsi" w:cs="Calibri"/>
                <w:sz w:val="16"/>
                <w:szCs w:val="16"/>
              </w:rPr>
            </w:pPr>
          </w:p>
        </w:tc>
      </w:tr>
      <w:tr w:rsidR="005C0158" w:rsidRPr="00486EC5" w14:paraId="4A493C1C" w14:textId="77777777" w:rsidTr="004003A3">
        <w:trPr>
          <w:trHeight w:val="560"/>
          <w:jc w:val="center"/>
        </w:trPr>
        <w:tc>
          <w:tcPr>
            <w:tcW w:w="597" w:type="pct"/>
            <w:vMerge w:val="restart"/>
          </w:tcPr>
          <w:p w14:paraId="14ABBE75" w14:textId="77777777" w:rsidR="005C0158" w:rsidRPr="00486EC5" w:rsidRDefault="005C0158" w:rsidP="004003A3">
            <w:pPr>
              <w:spacing w:before="120" w:after="0" w:line="240" w:lineRule="auto"/>
              <w:rPr>
                <w:rFonts w:asciiTheme="minorHAnsi" w:hAnsiTheme="minorHAnsi" w:cs="Calibri"/>
                <w:b/>
                <w:i/>
                <w:sz w:val="16"/>
                <w:szCs w:val="16"/>
                <w:lang w:val="el-GR"/>
              </w:rPr>
            </w:pPr>
            <w:bookmarkStart w:id="24" w:name="_Hlk482000385"/>
            <w:bookmarkEnd w:id="23"/>
            <w:r w:rsidRPr="00486EC5">
              <w:rPr>
                <w:rFonts w:asciiTheme="minorHAnsi" w:hAnsiTheme="minorHAnsi" w:cs="Calibri"/>
                <w:b/>
                <w:i/>
                <w:sz w:val="16"/>
                <w:szCs w:val="16"/>
                <w:lang w:val="el-GR"/>
              </w:rPr>
              <w:t xml:space="preserve">6.2. Τομέας αποβλήτων: </w:t>
            </w:r>
          </w:p>
          <w:p w14:paraId="1BB6456E" w14:textId="77777777" w:rsidR="005C0158" w:rsidRPr="00486EC5" w:rsidRDefault="005C0158" w:rsidP="004003A3">
            <w:pPr>
              <w:spacing w:before="120" w:after="0" w:line="240" w:lineRule="auto"/>
              <w:rPr>
                <w:rFonts w:asciiTheme="minorHAnsi" w:hAnsiTheme="minorHAnsi" w:cs="Calibri"/>
                <w:i/>
                <w:sz w:val="16"/>
                <w:szCs w:val="16"/>
                <w:lang w:val="el-GR"/>
              </w:rPr>
            </w:pPr>
            <w:r w:rsidRPr="00486EC5">
              <w:rPr>
                <w:rFonts w:asciiTheme="minorHAnsi" w:hAnsiTheme="minorHAnsi" w:cs="Calibri"/>
                <w:i/>
                <w:sz w:val="16"/>
                <w:szCs w:val="16"/>
                <w:lang w:val="el-GR"/>
              </w:rPr>
              <w:t>Προώθηση οικονομικά και περιβαλλοντικά βιώσιμων επενδύσεων στον τομέα των αποβλήτων, ιδίως με την ανάπτυξη σχεδίων διαχείρισης αποβλήτων, σύμφωνα με την Οδηγία 2008/98/ΕΚ περί των στερεών αποβλήτων καθώς και με την ιεράρχηση των αποβλήτων.</w:t>
            </w:r>
          </w:p>
          <w:p w14:paraId="3A9245E8" w14:textId="77777777" w:rsidR="005C0158" w:rsidRPr="00486EC5" w:rsidRDefault="005C0158" w:rsidP="004003A3">
            <w:pPr>
              <w:spacing w:after="0" w:line="240" w:lineRule="auto"/>
              <w:rPr>
                <w:rFonts w:asciiTheme="minorHAnsi" w:hAnsiTheme="minorHAnsi" w:cs="Calibri"/>
                <w:b/>
                <w:color w:val="000000"/>
                <w:sz w:val="16"/>
                <w:szCs w:val="16"/>
                <w:lang w:val="el-GR"/>
              </w:rPr>
            </w:pPr>
          </w:p>
        </w:tc>
        <w:tc>
          <w:tcPr>
            <w:tcW w:w="599" w:type="pct"/>
            <w:vMerge w:val="restart"/>
          </w:tcPr>
          <w:p w14:paraId="1890B0EC"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2 - Η ύπαρξη ενός ή περισσοτέρων σχεδίων διαχείρισης αποβλήτων, όπως απαιτείται βάση του άρθρου 28 της Οδηγίας 2008/98/ΕΚ;</w:t>
            </w:r>
          </w:p>
        </w:tc>
        <w:tc>
          <w:tcPr>
            <w:tcW w:w="1190" w:type="pct"/>
          </w:tcPr>
          <w:p w14:paraId="01E006D5" w14:textId="77777777" w:rsidR="005C0158" w:rsidRPr="00486EC5" w:rsidRDefault="005C0158" w:rsidP="004003A3">
            <w:pPr>
              <w:tabs>
                <w:tab w:val="left" w:pos="320"/>
              </w:tabs>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Αναθεώρηση Σχεδίου Διαχείρισης Οικιακών και Παρομοίου Τύπου Αποβλήτων σε Σχέδιο Διαχείρισης Δημοτικών Αποβλήτων (ΣΔΔΑ)</w:t>
            </w:r>
          </w:p>
        </w:tc>
        <w:tc>
          <w:tcPr>
            <w:tcW w:w="375" w:type="pct"/>
          </w:tcPr>
          <w:p w14:paraId="0A72DC98" w14:textId="77777777" w:rsidR="005C0158" w:rsidRPr="00486EC5" w:rsidDel="00120A0A"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30/09/2014</w:t>
            </w:r>
          </w:p>
        </w:tc>
        <w:tc>
          <w:tcPr>
            <w:tcW w:w="423" w:type="pct"/>
            <w:vMerge w:val="restart"/>
          </w:tcPr>
          <w:p w14:paraId="73856412"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Τμήμα Αναπτύξεως Υδάτων, Υπουργείο Γεωργίας, Φυσικών Πόρων και Περιβάλλοντος/ Υπουργικό Συμβούλιο</w:t>
            </w:r>
          </w:p>
        </w:tc>
        <w:tc>
          <w:tcPr>
            <w:tcW w:w="349" w:type="pct"/>
            <w:vMerge w:val="restart"/>
            <w:shd w:val="clear" w:color="auto" w:fill="auto"/>
          </w:tcPr>
          <w:p w14:paraId="5F5D07DB"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ΟΧΙ</w:t>
            </w:r>
          </w:p>
        </w:tc>
        <w:tc>
          <w:tcPr>
            <w:tcW w:w="317" w:type="pct"/>
            <w:vMerge w:val="restart"/>
            <w:shd w:val="clear" w:color="auto" w:fill="auto"/>
          </w:tcPr>
          <w:p w14:paraId="0F033AE6"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vMerge w:val="restart"/>
            <w:shd w:val="clear" w:color="auto" w:fill="auto"/>
            <w:vAlign w:val="center"/>
          </w:tcPr>
          <w:p w14:paraId="09F730F8"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05/11/2015</w:t>
            </w:r>
          </w:p>
        </w:tc>
        <w:tc>
          <w:tcPr>
            <w:tcW w:w="792" w:type="pct"/>
            <w:vMerge w:val="restart"/>
            <w:shd w:val="clear" w:color="auto" w:fill="auto"/>
          </w:tcPr>
          <w:p w14:paraId="6B1E6266"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όλων των Σχεδίων Διαχείρισης Αποβλήτων από το Υπουργικό Συμβούλιο στις 18/01/2017.</w:t>
            </w:r>
          </w:p>
          <w:p w14:paraId="07B1C7C3"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δεν επιβεβαιώθηκε ακόμα από την Ευρωπαϊκή Επιτροπή.</w:t>
            </w:r>
          </w:p>
        </w:tc>
      </w:tr>
      <w:tr w:rsidR="005C0158" w:rsidRPr="00486EC5" w14:paraId="19741524" w14:textId="77777777" w:rsidTr="004003A3">
        <w:trPr>
          <w:trHeight w:val="78"/>
          <w:jc w:val="center"/>
        </w:trPr>
        <w:tc>
          <w:tcPr>
            <w:tcW w:w="597" w:type="pct"/>
            <w:vMerge/>
          </w:tcPr>
          <w:p w14:paraId="7693E7D1"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vMerge/>
          </w:tcPr>
          <w:p w14:paraId="2331417A" w14:textId="77777777" w:rsidR="005C0158" w:rsidRPr="00486EC5" w:rsidRDefault="005C0158" w:rsidP="004003A3">
            <w:pPr>
              <w:spacing w:before="120" w:after="0" w:line="240" w:lineRule="auto"/>
              <w:rPr>
                <w:rFonts w:asciiTheme="minorHAnsi" w:hAnsiTheme="minorHAnsi" w:cs="Calibri"/>
                <w:sz w:val="16"/>
                <w:szCs w:val="16"/>
                <w:lang w:val="el-GR"/>
              </w:rPr>
            </w:pPr>
          </w:p>
        </w:tc>
        <w:tc>
          <w:tcPr>
            <w:tcW w:w="1190" w:type="pct"/>
          </w:tcPr>
          <w:p w14:paraId="33A9A53C" w14:textId="77777777" w:rsidR="005C0158" w:rsidRPr="00486EC5" w:rsidRDefault="005C0158" w:rsidP="004003A3">
            <w:pPr>
              <w:tabs>
                <w:tab w:val="left" w:pos="320"/>
              </w:tabs>
              <w:spacing w:before="120" w:after="0" w:line="240" w:lineRule="auto"/>
              <w:rPr>
                <w:rFonts w:asciiTheme="minorHAnsi" w:hAnsiTheme="minorHAnsi" w:cs="Calibri"/>
                <w:sz w:val="16"/>
                <w:szCs w:val="16"/>
              </w:rPr>
            </w:pPr>
            <w:r w:rsidRPr="00486EC5">
              <w:rPr>
                <w:rFonts w:asciiTheme="minorHAnsi" w:hAnsiTheme="minorHAnsi" w:cs="Calibri"/>
                <w:sz w:val="16"/>
                <w:szCs w:val="16"/>
              </w:rPr>
              <w:t>Ολοκλήρωση Δημόσιας Διαβούλευσης ΣΔΔΑ</w:t>
            </w:r>
          </w:p>
        </w:tc>
        <w:tc>
          <w:tcPr>
            <w:tcW w:w="375" w:type="pct"/>
          </w:tcPr>
          <w:p w14:paraId="0E34C65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31/12/2014</w:t>
            </w:r>
          </w:p>
        </w:tc>
        <w:tc>
          <w:tcPr>
            <w:tcW w:w="423" w:type="pct"/>
            <w:vMerge/>
            <w:vAlign w:val="center"/>
          </w:tcPr>
          <w:p w14:paraId="19A8CAE6"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shd w:val="clear" w:color="auto" w:fill="auto"/>
          </w:tcPr>
          <w:p w14:paraId="7B7C993E"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shd w:val="clear" w:color="auto" w:fill="auto"/>
          </w:tcPr>
          <w:p w14:paraId="760FC87F"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vMerge/>
            <w:shd w:val="clear" w:color="auto" w:fill="auto"/>
            <w:vAlign w:val="center"/>
          </w:tcPr>
          <w:p w14:paraId="568B9C68"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792" w:type="pct"/>
            <w:vMerge/>
            <w:shd w:val="clear" w:color="auto" w:fill="auto"/>
          </w:tcPr>
          <w:p w14:paraId="44FC2DC1" w14:textId="77777777" w:rsidR="005C0158" w:rsidRPr="00486EC5" w:rsidRDefault="005C0158" w:rsidP="004003A3">
            <w:pPr>
              <w:snapToGrid w:val="0"/>
              <w:spacing w:before="120" w:after="0" w:line="240" w:lineRule="auto"/>
              <w:rPr>
                <w:rFonts w:asciiTheme="minorHAnsi" w:hAnsiTheme="minorHAnsi" w:cs="Calibri"/>
                <w:sz w:val="16"/>
                <w:szCs w:val="16"/>
              </w:rPr>
            </w:pPr>
          </w:p>
        </w:tc>
      </w:tr>
      <w:tr w:rsidR="005C0158" w:rsidRPr="00486EC5" w14:paraId="1BE380EB" w14:textId="77777777" w:rsidTr="004003A3">
        <w:trPr>
          <w:trHeight w:val="292"/>
          <w:jc w:val="center"/>
        </w:trPr>
        <w:tc>
          <w:tcPr>
            <w:tcW w:w="597" w:type="pct"/>
            <w:vMerge/>
          </w:tcPr>
          <w:p w14:paraId="155BB942" w14:textId="77777777" w:rsidR="005C0158" w:rsidRPr="00486EC5" w:rsidRDefault="005C0158" w:rsidP="004003A3">
            <w:pPr>
              <w:spacing w:before="120" w:after="0" w:line="240" w:lineRule="auto"/>
              <w:rPr>
                <w:rFonts w:asciiTheme="minorHAnsi" w:hAnsiTheme="minorHAnsi" w:cs="Calibri"/>
                <w:b/>
                <w:i/>
                <w:sz w:val="16"/>
                <w:szCs w:val="16"/>
              </w:rPr>
            </w:pPr>
          </w:p>
        </w:tc>
        <w:tc>
          <w:tcPr>
            <w:tcW w:w="599" w:type="pct"/>
            <w:vMerge/>
          </w:tcPr>
          <w:p w14:paraId="7ADECEC6" w14:textId="77777777" w:rsidR="005C0158" w:rsidRPr="00486EC5" w:rsidRDefault="005C0158" w:rsidP="004003A3">
            <w:pPr>
              <w:spacing w:before="120" w:after="0" w:line="240" w:lineRule="auto"/>
              <w:rPr>
                <w:rFonts w:asciiTheme="minorHAnsi" w:hAnsiTheme="minorHAnsi" w:cs="Calibri"/>
                <w:sz w:val="16"/>
                <w:szCs w:val="16"/>
              </w:rPr>
            </w:pPr>
          </w:p>
        </w:tc>
        <w:tc>
          <w:tcPr>
            <w:tcW w:w="1190" w:type="pct"/>
          </w:tcPr>
          <w:p w14:paraId="50AF6BCD" w14:textId="77777777" w:rsidR="005C0158" w:rsidRPr="00486EC5" w:rsidRDefault="005C0158" w:rsidP="004003A3">
            <w:pPr>
              <w:tabs>
                <w:tab w:val="left" w:pos="320"/>
              </w:tabs>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Έγκριση  ΣΔΑΑ από το Υπουργικό Συμβούλιο</w:t>
            </w:r>
          </w:p>
        </w:tc>
        <w:tc>
          <w:tcPr>
            <w:tcW w:w="375" w:type="pct"/>
          </w:tcPr>
          <w:p w14:paraId="74C78AA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28/02/2015</w:t>
            </w:r>
          </w:p>
        </w:tc>
        <w:tc>
          <w:tcPr>
            <w:tcW w:w="423" w:type="pct"/>
            <w:vMerge/>
            <w:vAlign w:val="center"/>
          </w:tcPr>
          <w:p w14:paraId="261E7006"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shd w:val="clear" w:color="auto" w:fill="auto"/>
          </w:tcPr>
          <w:p w14:paraId="78BC63BA"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shd w:val="clear" w:color="auto" w:fill="auto"/>
          </w:tcPr>
          <w:p w14:paraId="6E4AD6B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vMerge/>
            <w:shd w:val="clear" w:color="auto" w:fill="auto"/>
            <w:vAlign w:val="center"/>
          </w:tcPr>
          <w:p w14:paraId="481B5BE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792" w:type="pct"/>
            <w:vMerge/>
            <w:shd w:val="clear" w:color="auto" w:fill="auto"/>
          </w:tcPr>
          <w:p w14:paraId="5CA0B242" w14:textId="77777777" w:rsidR="005C0158" w:rsidRPr="00486EC5" w:rsidRDefault="005C0158" w:rsidP="004003A3">
            <w:pPr>
              <w:snapToGrid w:val="0"/>
              <w:spacing w:before="120" w:after="0" w:line="240" w:lineRule="auto"/>
              <w:rPr>
                <w:rFonts w:asciiTheme="minorHAnsi" w:hAnsiTheme="minorHAnsi" w:cs="Calibri"/>
                <w:sz w:val="16"/>
                <w:szCs w:val="16"/>
              </w:rPr>
            </w:pPr>
          </w:p>
        </w:tc>
      </w:tr>
      <w:tr w:rsidR="005C0158" w:rsidRPr="00486EC5" w14:paraId="762CFED0" w14:textId="77777777" w:rsidTr="004003A3">
        <w:trPr>
          <w:trHeight w:val="144"/>
          <w:jc w:val="center"/>
        </w:trPr>
        <w:tc>
          <w:tcPr>
            <w:tcW w:w="597" w:type="pct"/>
            <w:vMerge/>
          </w:tcPr>
          <w:p w14:paraId="01D58347" w14:textId="77777777" w:rsidR="005C0158" w:rsidRPr="00486EC5" w:rsidRDefault="005C0158" w:rsidP="004003A3">
            <w:pPr>
              <w:spacing w:before="120" w:after="0" w:line="240" w:lineRule="auto"/>
              <w:rPr>
                <w:rFonts w:asciiTheme="minorHAnsi" w:hAnsiTheme="minorHAnsi" w:cs="Calibri"/>
                <w:b/>
                <w:i/>
                <w:sz w:val="16"/>
                <w:szCs w:val="16"/>
              </w:rPr>
            </w:pPr>
          </w:p>
        </w:tc>
        <w:tc>
          <w:tcPr>
            <w:tcW w:w="599" w:type="pct"/>
            <w:vMerge/>
          </w:tcPr>
          <w:p w14:paraId="7719EE57" w14:textId="77777777" w:rsidR="005C0158" w:rsidRPr="00486EC5" w:rsidRDefault="005C0158" w:rsidP="004003A3">
            <w:pPr>
              <w:spacing w:before="120" w:after="0" w:line="240" w:lineRule="auto"/>
              <w:rPr>
                <w:rFonts w:asciiTheme="minorHAnsi" w:hAnsiTheme="minorHAnsi" w:cs="Calibri"/>
                <w:sz w:val="16"/>
                <w:szCs w:val="16"/>
              </w:rPr>
            </w:pPr>
          </w:p>
        </w:tc>
        <w:tc>
          <w:tcPr>
            <w:tcW w:w="1190" w:type="pct"/>
          </w:tcPr>
          <w:p w14:paraId="38D97E9D" w14:textId="77777777" w:rsidR="005C0158" w:rsidRPr="00486EC5" w:rsidRDefault="005C0158" w:rsidP="004003A3">
            <w:pPr>
              <w:tabs>
                <w:tab w:val="left" w:pos="320"/>
              </w:tabs>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Ετοιμασία Σχεδίων Διαχείρισης των Λοιπών Αποβλήτων</w:t>
            </w:r>
          </w:p>
        </w:tc>
        <w:tc>
          <w:tcPr>
            <w:tcW w:w="375" w:type="pct"/>
          </w:tcPr>
          <w:p w14:paraId="0ADB12F2" w14:textId="77777777" w:rsidR="005C0158" w:rsidRPr="00486EC5" w:rsidDel="00AD5432"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30/09/2016</w:t>
            </w:r>
          </w:p>
        </w:tc>
        <w:tc>
          <w:tcPr>
            <w:tcW w:w="423" w:type="pct"/>
            <w:vMerge/>
          </w:tcPr>
          <w:p w14:paraId="11729373"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shd w:val="clear" w:color="auto" w:fill="auto"/>
          </w:tcPr>
          <w:p w14:paraId="738F6BD4"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shd w:val="clear" w:color="auto" w:fill="auto"/>
          </w:tcPr>
          <w:p w14:paraId="6028A80A"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vMerge w:val="restart"/>
            <w:shd w:val="clear" w:color="auto" w:fill="auto"/>
            <w:vAlign w:val="center"/>
          </w:tcPr>
          <w:p w14:paraId="12C36393" w14:textId="77777777" w:rsidR="005C0158" w:rsidRPr="00486EC5" w:rsidRDefault="005C0158" w:rsidP="004003A3">
            <w:pPr>
              <w:snapToGrid w:val="0"/>
              <w:spacing w:before="120" w:after="120"/>
              <w:jc w:val="center"/>
              <w:rPr>
                <w:rFonts w:asciiTheme="minorHAnsi" w:hAnsiTheme="minorHAnsi" w:cs="Calibri"/>
                <w:sz w:val="16"/>
                <w:szCs w:val="16"/>
              </w:rPr>
            </w:pPr>
            <w:r w:rsidRPr="00486EC5">
              <w:rPr>
                <w:rFonts w:asciiTheme="minorHAnsi" w:hAnsiTheme="minorHAnsi" w:cs="Calibri"/>
                <w:sz w:val="16"/>
                <w:szCs w:val="16"/>
              </w:rPr>
              <w:t>18/01/2017</w:t>
            </w:r>
          </w:p>
        </w:tc>
        <w:tc>
          <w:tcPr>
            <w:tcW w:w="792" w:type="pct"/>
            <w:vMerge/>
            <w:shd w:val="clear" w:color="auto" w:fill="auto"/>
          </w:tcPr>
          <w:p w14:paraId="6CCFAD01" w14:textId="77777777" w:rsidR="005C0158" w:rsidRPr="00486EC5" w:rsidRDefault="005C0158" w:rsidP="004003A3">
            <w:pPr>
              <w:snapToGrid w:val="0"/>
              <w:spacing w:before="120" w:after="0" w:line="240" w:lineRule="auto"/>
              <w:rPr>
                <w:rFonts w:asciiTheme="minorHAnsi" w:hAnsiTheme="minorHAnsi" w:cs="Calibri"/>
                <w:sz w:val="16"/>
                <w:szCs w:val="16"/>
              </w:rPr>
            </w:pPr>
          </w:p>
        </w:tc>
      </w:tr>
      <w:tr w:rsidR="005C0158" w:rsidRPr="00486EC5" w14:paraId="24FDF8AC" w14:textId="77777777" w:rsidTr="004003A3">
        <w:trPr>
          <w:trHeight w:val="335"/>
          <w:jc w:val="center"/>
        </w:trPr>
        <w:tc>
          <w:tcPr>
            <w:tcW w:w="597" w:type="pct"/>
            <w:vMerge/>
          </w:tcPr>
          <w:p w14:paraId="373870B7" w14:textId="77777777" w:rsidR="005C0158" w:rsidRPr="00486EC5" w:rsidRDefault="005C0158" w:rsidP="004003A3">
            <w:pPr>
              <w:spacing w:before="120" w:after="0" w:line="240" w:lineRule="auto"/>
              <w:rPr>
                <w:rFonts w:asciiTheme="minorHAnsi" w:hAnsiTheme="minorHAnsi" w:cs="Calibri"/>
                <w:b/>
                <w:i/>
                <w:sz w:val="16"/>
                <w:szCs w:val="16"/>
              </w:rPr>
            </w:pPr>
          </w:p>
        </w:tc>
        <w:tc>
          <w:tcPr>
            <w:tcW w:w="599" w:type="pct"/>
            <w:vMerge/>
          </w:tcPr>
          <w:p w14:paraId="0B48FFC4" w14:textId="77777777" w:rsidR="005C0158" w:rsidRPr="00486EC5" w:rsidRDefault="005C0158" w:rsidP="004003A3">
            <w:pPr>
              <w:spacing w:before="120" w:after="0" w:line="240" w:lineRule="auto"/>
              <w:rPr>
                <w:rFonts w:asciiTheme="minorHAnsi" w:hAnsiTheme="minorHAnsi" w:cs="Calibri"/>
                <w:sz w:val="16"/>
                <w:szCs w:val="16"/>
              </w:rPr>
            </w:pPr>
          </w:p>
        </w:tc>
        <w:tc>
          <w:tcPr>
            <w:tcW w:w="1190" w:type="pct"/>
          </w:tcPr>
          <w:p w14:paraId="0A88A92B" w14:textId="77777777" w:rsidR="005C0158" w:rsidRPr="00486EC5" w:rsidRDefault="005C0158" w:rsidP="004003A3">
            <w:pPr>
              <w:tabs>
                <w:tab w:val="left" w:pos="320"/>
              </w:tabs>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Ολοκλήρωση Δημόσιας Διαβούλευσης των Σχεδίων</w:t>
            </w:r>
          </w:p>
        </w:tc>
        <w:tc>
          <w:tcPr>
            <w:tcW w:w="375" w:type="pct"/>
          </w:tcPr>
          <w:p w14:paraId="37CE9B7B" w14:textId="77777777" w:rsidR="005C0158" w:rsidRPr="00486EC5" w:rsidDel="00AD5432"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30/11/2016</w:t>
            </w:r>
          </w:p>
        </w:tc>
        <w:tc>
          <w:tcPr>
            <w:tcW w:w="423" w:type="pct"/>
            <w:vMerge/>
            <w:vAlign w:val="center"/>
          </w:tcPr>
          <w:p w14:paraId="0C2F94C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shd w:val="clear" w:color="auto" w:fill="auto"/>
          </w:tcPr>
          <w:p w14:paraId="186A6624"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17" w:type="pct"/>
            <w:vMerge/>
            <w:shd w:val="clear" w:color="auto" w:fill="auto"/>
          </w:tcPr>
          <w:p w14:paraId="44DD252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58" w:type="pct"/>
            <w:vMerge/>
            <w:shd w:val="clear" w:color="auto" w:fill="auto"/>
          </w:tcPr>
          <w:p w14:paraId="72E649B6"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792" w:type="pct"/>
            <w:vMerge/>
            <w:shd w:val="clear" w:color="auto" w:fill="auto"/>
          </w:tcPr>
          <w:p w14:paraId="07A6CC72" w14:textId="77777777" w:rsidR="005C0158" w:rsidRPr="00486EC5" w:rsidRDefault="005C0158" w:rsidP="004003A3">
            <w:pPr>
              <w:snapToGrid w:val="0"/>
              <w:spacing w:before="120" w:after="0" w:line="240" w:lineRule="auto"/>
              <w:rPr>
                <w:rFonts w:asciiTheme="minorHAnsi" w:hAnsiTheme="minorHAnsi" w:cs="Calibri"/>
                <w:sz w:val="16"/>
                <w:szCs w:val="16"/>
              </w:rPr>
            </w:pPr>
          </w:p>
        </w:tc>
      </w:tr>
      <w:tr w:rsidR="005C0158" w:rsidRPr="00486EC5" w14:paraId="595E61F9" w14:textId="77777777" w:rsidTr="004003A3">
        <w:trPr>
          <w:trHeight w:val="70"/>
          <w:jc w:val="center"/>
        </w:trPr>
        <w:tc>
          <w:tcPr>
            <w:tcW w:w="597" w:type="pct"/>
            <w:vMerge/>
          </w:tcPr>
          <w:p w14:paraId="3E39AE5C" w14:textId="77777777" w:rsidR="005C0158" w:rsidRPr="00486EC5" w:rsidRDefault="005C0158" w:rsidP="004003A3">
            <w:pPr>
              <w:spacing w:before="120" w:after="120" w:line="240" w:lineRule="auto"/>
              <w:rPr>
                <w:rFonts w:asciiTheme="minorHAnsi" w:hAnsiTheme="minorHAnsi" w:cs="Calibri"/>
                <w:b/>
                <w:i/>
                <w:sz w:val="16"/>
                <w:szCs w:val="16"/>
              </w:rPr>
            </w:pPr>
          </w:p>
        </w:tc>
        <w:tc>
          <w:tcPr>
            <w:tcW w:w="599" w:type="pct"/>
            <w:vMerge/>
          </w:tcPr>
          <w:p w14:paraId="45E2CB06" w14:textId="77777777" w:rsidR="005C0158" w:rsidRPr="00486EC5" w:rsidRDefault="005C0158" w:rsidP="004003A3">
            <w:pPr>
              <w:spacing w:before="120" w:after="120"/>
              <w:rPr>
                <w:rFonts w:asciiTheme="minorHAnsi" w:hAnsiTheme="minorHAnsi" w:cs="Calibri"/>
                <w:sz w:val="16"/>
                <w:szCs w:val="16"/>
              </w:rPr>
            </w:pPr>
          </w:p>
        </w:tc>
        <w:tc>
          <w:tcPr>
            <w:tcW w:w="1190" w:type="pct"/>
          </w:tcPr>
          <w:p w14:paraId="28938996" w14:textId="77777777" w:rsidR="005C0158" w:rsidRPr="00486EC5" w:rsidRDefault="005C0158" w:rsidP="004003A3">
            <w:pPr>
              <w:tabs>
                <w:tab w:val="left" w:pos="320"/>
              </w:tabs>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Έγκριση Σχεδίων από το Υπουργικό Συμβούλιο</w:t>
            </w:r>
          </w:p>
        </w:tc>
        <w:tc>
          <w:tcPr>
            <w:tcW w:w="375" w:type="pct"/>
          </w:tcPr>
          <w:p w14:paraId="3F120241" w14:textId="77777777" w:rsidR="005C0158" w:rsidRPr="00486EC5" w:rsidDel="00AD5432"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31/12/2016</w:t>
            </w:r>
          </w:p>
        </w:tc>
        <w:tc>
          <w:tcPr>
            <w:tcW w:w="423" w:type="pct"/>
            <w:vMerge/>
          </w:tcPr>
          <w:p w14:paraId="30ED4B6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shd w:val="clear" w:color="auto" w:fill="auto"/>
          </w:tcPr>
          <w:p w14:paraId="1A71CB4A"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17" w:type="pct"/>
            <w:vMerge/>
            <w:shd w:val="clear" w:color="auto" w:fill="auto"/>
          </w:tcPr>
          <w:p w14:paraId="1A90A3D0"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358" w:type="pct"/>
            <w:vMerge/>
            <w:shd w:val="clear" w:color="auto" w:fill="auto"/>
          </w:tcPr>
          <w:p w14:paraId="39E91271" w14:textId="77777777" w:rsidR="005C0158" w:rsidRPr="00486EC5" w:rsidRDefault="005C0158" w:rsidP="004003A3">
            <w:pPr>
              <w:snapToGrid w:val="0"/>
              <w:spacing w:before="120" w:after="120"/>
              <w:jc w:val="center"/>
              <w:rPr>
                <w:rFonts w:asciiTheme="minorHAnsi" w:hAnsiTheme="minorHAnsi" w:cs="Calibri"/>
                <w:sz w:val="16"/>
                <w:szCs w:val="16"/>
              </w:rPr>
            </w:pPr>
          </w:p>
        </w:tc>
        <w:tc>
          <w:tcPr>
            <w:tcW w:w="792" w:type="pct"/>
            <w:vMerge/>
            <w:shd w:val="clear" w:color="auto" w:fill="auto"/>
          </w:tcPr>
          <w:p w14:paraId="3D755583" w14:textId="77777777" w:rsidR="005C0158" w:rsidRPr="00486EC5" w:rsidRDefault="005C0158" w:rsidP="004003A3">
            <w:pPr>
              <w:snapToGrid w:val="0"/>
              <w:spacing w:before="120" w:after="120"/>
              <w:rPr>
                <w:rFonts w:asciiTheme="minorHAnsi" w:hAnsiTheme="minorHAnsi" w:cs="Calibri"/>
                <w:sz w:val="16"/>
                <w:szCs w:val="16"/>
              </w:rPr>
            </w:pPr>
          </w:p>
        </w:tc>
      </w:tr>
      <w:tr w:rsidR="005C0158" w:rsidRPr="00486EC5" w14:paraId="75BB7ACD" w14:textId="77777777" w:rsidTr="004003A3">
        <w:trPr>
          <w:trHeight w:val="560"/>
          <w:jc w:val="center"/>
        </w:trPr>
        <w:tc>
          <w:tcPr>
            <w:tcW w:w="597" w:type="pct"/>
            <w:vMerge/>
          </w:tcPr>
          <w:p w14:paraId="14E17011" w14:textId="77777777" w:rsidR="005C0158" w:rsidRPr="00486EC5" w:rsidRDefault="005C0158" w:rsidP="004003A3">
            <w:pPr>
              <w:spacing w:line="240" w:lineRule="auto"/>
              <w:rPr>
                <w:rFonts w:asciiTheme="minorHAnsi" w:hAnsiTheme="minorHAnsi" w:cs="Calibri"/>
                <w:b/>
                <w:color w:val="000000"/>
                <w:sz w:val="16"/>
                <w:szCs w:val="16"/>
              </w:rPr>
            </w:pPr>
          </w:p>
        </w:tc>
        <w:tc>
          <w:tcPr>
            <w:tcW w:w="599" w:type="pct"/>
            <w:vMerge w:val="restart"/>
          </w:tcPr>
          <w:p w14:paraId="2794F127"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3 - Η ύπαρξη προγραμμάτων πρόληψης για τη δημιουργία αποβλήτων, όπως απαιτείται βάση του άρθρου 29 της Οδηγίας 2008/98/ΕΚ;</w:t>
            </w:r>
          </w:p>
        </w:tc>
        <w:tc>
          <w:tcPr>
            <w:tcW w:w="1190" w:type="pct"/>
          </w:tcPr>
          <w:p w14:paraId="17F428C2" w14:textId="77777777" w:rsidR="005C0158" w:rsidRPr="00486EC5" w:rsidRDefault="005C0158" w:rsidP="004003A3">
            <w:pPr>
              <w:spacing w:before="120" w:after="0" w:line="240" w:lineRule="auto"/>
              <w:rPr>
                <w:rFonts w:asciiTheme="minorHAnsi" w:hAnsiTheme="minorHAnsi" w:cs="Calibri"/>
                <w:sz w:val="16"/>
                <w:szCs w:val="16"/>
              </w:rPr>
            </w:pPr>
            <w:r w:rsidRPr="00486EC5">
              <w:rPr>
                <w:rFonts w:asciiTheme="minorHAnsi" w:hAnsiTheme="minorHAnsi" w:cs="Calibri"/>
                <w:sz w:val="16"/>
                <w:szCs w:val="16"/>
              </w:rPr>
              <w:t xml:space="preserve">Ετοιμασία Προγράμματος Πρόληψης </w:t>
            </w:r>
          </w:p>
        </w:tc>
        <w:tc>
          <w:tcPr>
            <w:tcW w:w="375" w:type="pct"/>
          </w:tcPr>
          <w:p w14:paraId="0CCC47D0" w14:textId="77777777" w:rsidR="005C0158" w:rsidRPr="00486EC5" w:rsidDel="00120A0A"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30/09/2014</w:t>
            </w:r>
          </w:p>
        </w:tc>
        <w:tc>
          <w:tcPr>
            <w:tcW w:w="423" w:type="pct"/>
            <w:vMerge w:val="restart"/>
          </w:tcPr>
          <w:p w14:paraId="13EBA5EC"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Τμήμα Αναπτύξεως Υδάτων, Υπουργείο Γεωργίας, Φυσικών Πόρων και Περιβάλλοντος/ Υπουργικό Συμβούλιο</w:t>
            </w:r>
          </w:p>
        </w:tc>
        <w:tc>
          <w:tcPr>
            <w:tcW w:w="349" w:type="pct"/>
            <w:vMerge w:val="restart"/>
            <w:shd w:val="clear" w:color="auto" w:fill="auto"/>
          </w:tcPr>
          <w:p w14:paraId="5248FA6B"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lang w:val="el-GR"/>
              </w:rPr>
            </w:pPr>
            <w:r w:rsidRPr="00486EC5">
              <w:rPr>
                <w:rFonts w:asciiTheme="minorHAnsi" w:hAnsiTheme="minorHAnsi" w:cs="Calibri"/>
                <w:color w:val="000000"/>
                <w:sz w:val="16"/>
                <w:szCs w:val="16"/>
                <w:lang w:val="el-GR"/>
              </w:rPr>
              <w:t>ΟΧΙ</w:t>
            </w:r>
          </w:p>
        </w:tc>
        <w:tc>
          <w:tcPr>
            <w:tcW w:w="317" w:type="pct"/>
            <w:vMerge w:val="restart"/>
            <w:shd w:val="clear" w:color="auto" w:fill="auto"/>
          </w:tcPr>
          <w:p w14:paraId="54BBB0BD"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r w:rsidRPr="00486EC5">
              <w:rPr>
                <w:rFonts w:asciiTheme="minorHAnsi" w:hAnsiTheme="minorHAnsi" w:cs="Calibri"/>
                <w:color w:val="000000"/>
                <w:sz w:val="16"/>
                <w:szCs w:val="16"/>
              </w:rPr>
              <w:t>ΝΑΙ</w:t>
            </w:r>
          </w:p>
        </w:tc>
        <w:tc>
          <w:tcPr>
            <w:tcW w:w="358" w:type="pct"/>
            <w:vMerge w:val="restart"/>
            <w:shd w:val="clear" w:color="auto" w:fill="auto"/>
          </w:tcPr>
          <w:p w14:paraId="3F7822A5"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r w:rsidRPr="00486EC5">
              <w:rPr>
                <w:rFonts w:asciiTheme="minorHAnsi" w:hAnsiTheme="minorHAnsi" w:cs="Calibri"/>
                <w:color w:val="000000"/>
                <w:sz w:val="16"/>
                <w:szCs w:val="16"/>
              </w:rPr>
              <w:t>05/11/2015</w:t>
            </w:r>
          </w:p>
        </w:tc>
        <w:tc>
          <w:tcPr>
            <w:tcW w:w="792" w:type="pct"/>
            <w:vMerge w:val="restart"/>
            <w:shd w:val="clear" w:color="auto" w:fill="auto"/>
          </w:tcPr>
          <w:p w14:paraId="7ED5E190"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του Προγράμματος Πρόληψης Αποβλήτων από το Υπουργικό Συμβούλιο στις 5/11/2015.</w:t>
            </w:r>
          </w:p>
          <w:p w14:paraId="6E3B5868" w14:textId="77777777" w:rsidR="005C0158" w:rsidRPr="00486EC5" w:rsidRDefault="005C0158" w:rsidP="004003A3">
            <w:pPr>
              <w:snapToGrid w:val="0"/>
              <w:spacing w:before="120" w:after="0" w:line="240" w:lineRule="auto"/>
              <w:rPr>
                <w:rFonts w:asciiTheme="minorHAnsi" w:hAnsiTheme="minorHAnsi" w:cs="Calibri"/>
                <w:color w:val="000000"/>
                <w:sz w:val="16"/>
                <w:szCs w:val="16"/>
                <w:lang w:val="el-GR"/>
              </w:rPr>
            </w:pPr>
            <w:r w:rsidRPr="00486EC5">
              <w:rPr>
                <w:rFonts w:asciiTheme="minorHAnsi" w:hAnsiTheme="minorHAnsi" w:cs="Calibri"/>
                <w:sz w:val="16"/>
                <w:szCs w:val="16"/>
                <w:lang w:val="el-GR"/>
              </w:rPr>
              <w:t>Η εκπλήρωση δεν επιβεβαιώθηκε ακόμα από την Ευρωπαϊκή Επιτροπή.</w:t>
            </w:r>
          </w:p>
        </w:tc>
      </w:tr>
      <w:tr w:rsidR="005C0158" w:rsidRPr="00486EC5" w14:paraId="28D94BC6" w14:textId="77777777" w:rsidTr="004003A3">
        <w:trPr>
          <w:trHeight w:val="560"/>
          <w:jc w:val="center"/>
        </w:trPr>
        <w:tc>
          <w:tcPr>
            <w:tcW w:w="597" w:type="pct"/>
            <w:vMerge/>
          </w:tcPr>
          <w:p w14:paraId="3462EF67" w14:textId="77777777" w:rsidR="005C0158" w:rsidRPr="00486EC5" w:rsidRDefault="005C0158" w:rsidP="004003A3">
            <w:pPr>
              <w:spacing w:line="240" w:lineRule="auto"/>
              <w:rPr>
                <w:rFonts w:asciiTheme="minorHAnsi" w:hAnsiTheme="minorHAnsi" w:cs="Calibri"/>
                <w:b/>
                <w:color w:val="000000"/>
                <w:sz w:val="16"/>
                <w:szCs w:val="16"/>
                <w:lang w:val="el-GR"/>
              </w:rPr>
            </w:pPr>
          </w:p>
        </w:tc>
        <w:tc>
          <w:tcPr>
            <w:tcW w:w="599" w:type="pct"/>
            <w:vMerge/>
          </w:tcPr>
          <w:p w14:paraId="52870FAB" w14:textId="77777777" w:rsidR="005C0158" w:rsidRPr="00486EC5" w:rsidRDefault="005C0158" w:rsidP="004003A3">
            <w:pPr>
              <w:spacing w:before="120" w:after="0" w:line="240" w:lineRule="auto"/>
              <w:rPr>
                <w:rFonts w:asciiTheme="minorHAnsi" w:hAnsiTheme="minorHAnsi" w:cs="Calibri"/>
                <w:sz w:val="16"/>
                <w:szCs w:val="16"/>
                <w:lang w:val="el-GR"/>
              </w:rPr>
            </w:pPr>
          </w:p>
        </w:tc>
        <w:tc>
          <w:tcPr>
            <w:tcW w:w="1190" w:type="pct"/>
          </w:tcPr>
          <w:p w14:paraId="2270F761" w14:textId="77777777" w:rsidR="005C0158" w:rsidRPr="00486EC5" w:rsidRDefault="005C0158" w:rsidP="004003A3">
            <w:pPr>
              <w:spacing w:before="120" w:after="0" w:line="240" w:lineRule="auto"/>
              <w:ind w:left="43"/>
              <w:rPr>
                <w:rFonts w:asciiTheme="minorHAnsi" w:hAnsiTheme="minorHAnsi" w:cs="Calibri"/>
                <w:sz w:val="16"/>
                <w:szCs w:val="16"/>
              </w:rPr>
            </w:pPr>
            <w:r w:rsidRPr="00486EC5">
              <w:rPr>
                <w:rFonts w:asciiTheme="minorHAnsi" w:hAnsiTheme="minorHAnsi" w:cs="Calibri"/>
                <w:sz w:val="16"/>
                <w:szCs w:val="16"/>
              </w:rPr>
              <w:t>Ολοκλήρωση Δημόσιας Διαβούλευσης</w:t>
            </w:r>
          </w:p>
        </w:tc>
        <w:tc>
          <w:tcPr>
            <w:tcW w:w="375" w:type="pct"/>
          </w:tcPr>
          <w:p w14:paraId="62CEF91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31/12/2014</w:t>
            </w:r>
          </w:p>
        </w:tc>
        <w:tc>
          <w:tcPr>
            <w:tcW w:w="423" w:type="pct"/>
            <w:vMerge/>
            <w:vAlign w:val="center"/>
          </w:tcPr>
          <w:p w14:paraId="3935B6D3"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shd w:val="clear" w:color="auto" w:fill="auto"/>
          </w:tcPr>
          <w:p w14:paraId="5CB39897"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17" w:type="pct"/>
            <w:vMerge/>
            <w:shd w:val="clear" w:color="auto" w:fill="auto"/>
          </w:tcPr>
          <w:p w14:paraId="70F1ADD2"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58" w:type="pct"/>
            <w:vMerge/>
            <w:shd w:val="clear" w:color="auto" w:fill="auto"/>
          </w:tcPr>
          <w:p w14:paraId="02A650BF"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792" w:type="pct"/>
            <w:vMerge/>
            <w:shd w:val="clear" w:color="auto" w:fill="auto"/>
          </w:tcPr>
          <w:p w14:paraId="417461D0" w14:textId="77777777" w:rsidR="005C0158" w:rsidRPr="00486EC5" w:rsidRDefault="005C0158" w:rsidP="004003A3">
            <w:pPr>
              <w:snapToGrid w:val="0"/>
              <w:spacing w:before="120" w:after="0" w:line="240" w:lineRule="auto"/>
              <w:rPr>
                <w:rFonts w:asciiTheme="minorHAnsi" w:hAnsiTheme="minorHAnsi" w:cs="Calibri"/>
                <w:color w:val="000000"/>
                <w:sz w:val="16"/>
                <w:szCs w:val="16"/>
              </w:rPr>
            </w:pPr>
          </w:p>
        </w:tc>
      </w:tr>
      <w:tr w:rsidR="005C0158" w:rsidRPr="00486EC5" w14:paraId="0A97F7CE" w14:textId="77777777" w:rsidTr="004003A3">
        <w:trPr>
          <w:trHeight w:val="560"/>
          <w:jc w:val="center"/>
        </w:trPr>
        <w:tc>
          <w:tcPr>
            <w:tcW w:w="597" w:type="pct"/>
            <w:vMerge/>
          </w:tcPr>
          <w:p w14:paraId="333CA1EE" w14:textId="77777777" w:rsidR="005C0158" w:rsidRPr="00486EC5" w:rsidRDefault="005C0158" w:rsidP="004003A3">
            <w:pPr>
              <w:spacing w:line="240" w:lineRule="auto"/>
              <w:rPr>
                <w:rFonts w:asciiTheme="minorHAnsi" w:hAnsiTheme="minorHAnsi" w:cs="Calibri"/>
                <w:b/>
                <w:color w:val="000000"/>
                <w:sz w:val="16"/>
                <w:szCs w:val="16"/>
              </w:rPr>
            </w:pPr>
          </w:p>
        </w:tc>
        <w:tc>
          <w:tcPr>
            <w:tcW w:w="599" w:type="pct"/>
            <w:vMerge/>
          </w:tcPr>
          <w:p w14:paraId="381CE760" w14:textId="77777777" w:rsidR="005C0158" w:rsidRPr="00486EC5" w:rsidRDefault="005C0158" w:rsidP="004003A3">
            <w:pPr>
              <w:spacing w:before="120" w:after="0" w:line="240" w:lineRule="auto"/>
              <w:rPr>
                <w:rFonts w:asciiTheme="minorHAnsi" w:hAnsiTheme="minorHAnsi" w:cs="Calibri"/>
                <w:sz w:val="16"/>
                <w:szCs w:val="16"/>
              </w:rPr>
            </w:pPr>
          </w:p>
        </w:tc>
        <w:tc>
          <w:tcPr>
            <w:tcW w:w="1190" w:type="pct"/>
          </w:tcPr>
          <w:p w14:paraId="47E52564" w14:textId="77777777" w:rsidR="005C0158" w:rsidRPr="00486EC5" w:rsidRDefault="005C0158" w:rsidP="004003A3">
            <w:pPr>
              <w:spacing w:before="120" w:after="0" w:line="240" w:lineRule="auto"/>
              <w:ind w:left="43"/>
              <w:rPr>
                <w:rFonts w:asciiTheme="minorHAnsi" w:hAnsiTheme="minorHAnsi" w:cs="Calibri"/>
                <w:sz w:val="16"/>
                <w:szCs w:val="16"/>
                <w:lang w:val="el-GR"/>
              </w:rPr>
            </w:pPr>
            <w:r w:rsidRPr="00486EC5">
              <w:rPr>
                <w:rFonts w:asciiTheme="minorHAnsi" w:hAnsiTheme="minorHAnsi" w:cs="Calibri"/>
                <w:sz w:val="16"/>
                <w:szCs w:val="16"/>
                <w:lang w:val="el-GR"/>
              </w:rPr>
              <w:t>Έγκριση Προγράμματος από το Υπουργικό Συμβούλιο</w:t>
            </w:r>
          </w:p>
        </w:tc>
        <w:tc>
          <w:tcPr>
            <w:tcW w:w="375" w:type="pct"/>
          </w:tcPr>
          <w:p w14:paraId="3CD84D2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28/02/2015</w:t>
            </w:r>
          </w:p>
        </w:tc>
        <w:tc>
          <w:tcPr>
            <w:tcW w:w="423" w:type="pct"/>
            <w:vMerge/>
          </w:tcPr>
          <w:p w14:paraId="511503F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vMerge/>
            <w:shd w:val="clear" w:color="auto" w:fill="auto"/>
          </w:tcPr>
          <w:p w14:paraId="2E4543E4"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17" w:type="pct"/>
            <w:vMerge/>
            <w:shd w:val="clear" w:color="auto" w:fill="auto"/>
          </w:tcPr>
          <w:p w14:paraId="324A47AA"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58" w:type="pct"/>
            <w:vMerge/>
            <w:shd w:val="clear" w:color="auto" w:fill="auto"/>
          </w:tcPr>
          <w:p w14:paraId="66AC0352"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792" w:type="pct"/>
            <w:vMerge/>
            <w:shd w:val="clear" w:color="auto" w:fill="auto"/>
          </w:tcPr>
          <w:p w14:paraId="70085453" w14:textId="77777777" w:rsidR="005C0158" w:rsidRPr="00486EC5" w:rsidRDefault="005C0158" w:rsidP="004003A3">
            <w:pPr>
              <w:snapToGrid w:val="0"/>
              <w:spacing w:before="120" w:after="0" w:line="240" w:lineRule="auto"/>
              <w:rPr>
                <w:rFonts w:asciiTheme="minorHAnsi" w:hAnsiTheme="minorHAnsi" w:cs="Calibri"/>
                <w:color w:val="000000"/>
                <w:sz w:val="16"/>
                <w:szCs w:val="16"/>
              </w:rPr>
            </w:pPr>
          </w:p>
        </w:tc>
      </w:tr>
      <w:tr w:rsidR="005C0158" w:rsidRPr="00486EC5" w14:paraId="4714B9C0" w14:textId="77777777" w:rsidTr="004003A3">
        <w:trPr>
          <w:trHeight w:val="145"/>
          <w:jc w:val="center"/>
        </w:trPr>
        <w:tc>
          <w:tcPr>
            <w:tcW w:w="597" w:type="pct"/>
            <w:vMerge/>
          </w:tcPr>
          <w:p w14:paraId="030A52DC" w14:textId="77777777" w:rsidR="005C0158" w:rsidRPr="00486EC5" w:rsidRDefault="005C0158" w:rsidP="004003A3">
            <w:pPr>
              <w:spacing w:line="240" w:lineRule="auto"/>
              <w:rPr>
                <w:rFonts w:asciiTheme="minorHAnsi" w:hAnsiTheme="minorHAnsi" w:cs="Calibri"/>
                <w:b/>
                <w:color w:val="000000"/>
                <w:sz w:val="16"/>
                <w:szCs w:val="16"/>
              </w:rPr>
            </w:pPr>
          </w:p>
        </w:tc>
        <w:tc>
          <w:tcPr>
            <w:tcW w:w="599" w:type="pct"/>
            <w:vMerge w:val="restart"/>
          </w:tcPr>
          <w:p w14:paraId="3E197E2A"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4 - Έχουν υιοθετηθεί τα αναγκαία μέτρα για την επίτευξη των </w:t>
            </w:r>
            <w:r w:rsidRPr="00486EC5">
              <w:rPr>
                <w:rFonts w:asciiTheme="minorHAnsi" w:hAnsiTheme="minorHAnsi" w:cs="Calibri"/>
                <w:sz w:val="16"/>
                <w:szCs w:val="16"/>
                <w:lang w:val="el-GR"/>
              </w:rPr>
              <w:lastRenderedPageBreak/>
              <w:t>στόχων για το 2020, σχετικά με την προετοιμασία για την επαναχρησιμοποίηση και την ανακύκλωση, σύμφωνα με το άρθρο 11(2) της Οδηγίας 2008/98/ΕΚ.</w:t>
            </w:r>
          </w:p>
        </w:tc>
        <w:tc>
          <w:tcPr>
            <w:tcW w:w="1190" w:type="pct"/>
            <w:vAlign w:val="center"/>
          </w:tcPr>
          <w:p w14:paraId="7309EC98" w14:textId="77777777" w:rsidR="005C0158" w:rsidRPr="00486EC5" w:rsidRDefault="005C0158" w:rsidP="004003A3">
            <w:pPr>
              <w:spacing w:before="120" w:after="0" w:line="240" w:lineRule="auto"/>
              <w:ind w:left="43"/>
              <w:rPr>
                <w:rFonts w:asciiTheme="minorHAnsi" w:hAnsiTheme="minorHAnsi" w:cs="Calibri"/>
                <w:sz w:val="16"/>
                <w:szCs w:val="16"/>
                <w:lang w:val="el-GR"/>
              </w:rPr>
            </w:pPr>
            <w:r w:rsidRPr="00486EC5">
              <w:rPr>
                <w:rFonts w:asciiTheme="minorHAnsi" w:hAnsiTheme="minorHAnsi" w:cs="Calibri"/>
                <w:sz w:val="16"/>
                <w:szCs w:val="16"/>
                <w:lang w:val="el-GR"/>
              </w:rPr>
              <w:lastRenderedPageBreak/>
              <w:t>Ετοιμασία Κανονισμών για εφαρμογή διάφορων μέτρων που θα συμβάλουν στην ανακύκλωση και επαναχρησιμοποίηση</w:t>
            </w:r>
          </w:p>
        </w:tc>
        <w:tc>
          <w:tcPr>
            <w:tcW w:w="375" w:type="pct"/>
          </w:tcPr>
          <w:p w14:paraId="5EC6842B" w14:textId="77777777" w:rsidR="005C0158" w:rsidRPr="00486EC5" w:rsidDel="00120A0A" w:rsidRDefault="005C0158" w:rsidP="004003A3">
            <w:pPr>
              <w:snapToGrid w:val="0"/>
              <w:spacing w:before="120" w:after="0" w:line="240" w:lineRule="auto"/>
              <w:ind w:left="14"/>
              <w:jc w:val="center"/>
              <w:rPr>
                <w:rFonts w:asciiTheme="minorHAnsi" w:hAnsiTheme="minorHAnsi" w:cs="Calibri"/>
                <w:sz w:val="16"/>
                <w:szCs w:val="16"/>
              </w:rPr>
            </w:pPr>
            <w:r w:rsidRPr="00486EC5">
              <w:rPr>
                <w:rFonts w:asciiTheme="minorHAnsi" w:hAnsiTheme="minorHAnsi" w:cs="Calibri"/>
                <w:sz w:val="16"/>
                <w:szCs w:val="16"/>
              </w:rPr>
              <w:t>30/04/2015</w:t>
            </w:r>
          </w:p>
        </w:tc>
        <w:tc>
          <w:tcPr>
            <w:tcW w:w="423" w:type="pct"/>
            <w:vMerge w:val="restart"/>
          </w:tcPr>
          <w:p w14:paraId="00C956B1"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 xml:space="preserve">Τμήμα Περιβάλλοντος, Υπουργείο </w:t>
            </w:r>
            <w:r w:rsidRPr="00486EC5">
              <w:rPr>
                <w:rFonts w:asciiTheme="minorHAnsi" w:hAnsiTheme="minorHAnsi" w:cs="Calibri"/>
                <w:sz w:val="16"/>
                <w:szCs w:val="16"/>
                <w:lang w:val="el-GR"/>
              </w:rPr>
              <w:lastRenderedPageBreak/>
              <w:t>Γεωργίας, Φυσικών Πόρων και Περιβάλλοντος/ Υπουργικό Συμβούλιο</w:t>
            </w:r>
          </w:p>
        </w:tc>
        <w:tc>
          <w:tcPr>
            <w:tcW w:w="349" w:type="pct"/>
            <w:vMerge w:val="restart"/>
            <w:shd w:val="clear" w:color="auto" w:fill="auto"/>
          </w:tcPr>
          <w:p w14:paraId="470F7B73"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lang w:val="el-GR"/>
              </w:rPr>
            </w:pPr>
            <w:r w:rsidRPr="00486EC5">
              <w:rPr>
                <w:rFonts w:asciiTheme="minorHAnsi" w:hAnsiTheme="minorHAnsi" w:cs="Calibri"/>
                <w:color w:val="000000"/>
                <w:sz w:val="16"/>
                <w:szCs w:val="16"/>
                <w:lang w:val="el-GR"/>
              </w:rPr>
              <w:lastRenderedPageBreak/>
              <w:t>ΟΧΙ</w:t>
            </w:r>
          </w:p>
        </w:tc>
        <w:tc>
          <w:tcPr>
            <w:tcW w:w="317" w:type="pct"/>
            <w:vMerge w:val="restart"/>
            <w:shd w:val="clear" w:color="auto" w:fill="auto"/>
          </w:tcPr>
          <w:p w14:paraId="37FFB8A1"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lang w:val="el-GR"/>
              </w:rPr>
            </w:pPr>
            <w:r w:rsidRPr="00486EC5">
              <w:rPr>
                <w:rFonts w:asciiTheme="minorHAnsi" w:hAnsiTheme="minorHAnsi" w:cs="Calibri"/>
                <w:color w:val="000000"/>
                <w:sz w:val="16"/>
                <w:szCs w:val="16"/>
                <w:lang w:val="el-GR"/>
              </w:rPr>
              <w:t>ΝΑΙ</w:t>
            </w:r>
          </w:p>
        </w:tc>
        <w:tc>
          <w:tcPr>
            <w:tcW w:w="358" w:type="pct"/>
            <w:shd w:val="clear" w:color="auto" w:fill="auto"/>
          </w:tcPr>
          <w:p w14:paraId="685AD339"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r w:rsidRPr="00486EC5">
              <w:rPr>
                <w:rFonts w:asciiTheme="minorHAnsi" w:hAnsiTheme="minorHAnsi" w:cs="Calibri"/>
                <w:color w:val="000000"/>
                <w:sz w:val="16"/>
                <w:szCs w:val="16"/>
              </w:rPr>
              <w:t>31/08/2016</w:t>
            </w:r>
          </w:p>
        </w:tc>
        <w:tc>
          <w:tcPr>
            <w:tcW w:w="792" w:type="pct"/>
            <w:vMerge w:val="restart"/>
            <w:shd w:val="clear" w:color="auto" w:fill="auto"/>
          </w:tcPr>
          <w:p w14:paraId="7F6630A2"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Το κριτήριο εκπληρώθηκε με την έγκριση του Σχεδίου Διαχείρισης Δημοτικών </w:t>
            </w:r>
            <w:r w:rsidRPr="00486EC5">
              <w:rPr>
                <w:rFonts w:asciiTheme="minorHAnsi" w:hAnsiTheme="minorHAnsi" w:cs="Calibri"/>
                <w:sz w:val="16"/>
                <w:szCs w:val="16"/>
                <w:lang w:val="el-GR"/>
              </w:rPr>
              <w:lastRenderedPageBreak/>
              <w:t>Αποβλήτων και του Προγράμματος Πρόληψης Αποβλήτων από το Υπουργικό Συμβούλιο στις 5/11/2015.</w:t>
            </w:r>
          </w:p>
          <w:p w14:paraId="0E64AB85" w14:textId="77777777" w:rsidR="005C0158" w:rsidRPr="00486EC5" w:rsidRDefault="005C0158" w:rsidP="004003A3">
            <w:pPr>
              <w:snapToGrid w:val="0"/>
              <w:spacing w:before="120" w:after="0" w:line="240" w:lineRule="auto"/>
              <w:rPr>
                <w:rFonts w:asciiTheme="minorHAnsi" w:hAnsiTheme="minorHAnsi" w:cs="Calibri"/>
                <w:color w:val="000000"/>
                <w:sz w:val="16"/>
                <w:szCs w:val="16"/>
                <w:lang w:val="el-GR"/>
              </w:rPr>
            </w:pPr>
            <w:r w:rsidRPr="00486EC5">
              <w:rPr>
                <w:rFonts w:asciiTheme="minorHAnsi" w:hAnsiTheme="minorHAnsi" w:cs="Calibri"/>
                <w:sz w:val="16"/>
                <w:szCs w:val="16"/>
                <w:lang w:val="el-GR"/>
              </w:rPr>
              <w:t>Η εκπλήρωση δεν επιβεβαιώθηκε ακόμα από την Ευρωπαϊκή Επιτροπή.</w:t>
            </w:r>
          </w:p>
        </w:tc>
      </w:tr>
      <w:tr w:rsidR="005C0158" w:rsidRPr="00486EC5" w14:paraId="773B3826" w14:textId="77777777" w:rsidTr="004003A3">
        <w:trPr>
          <w:trHeight w:val="562"/>
          <w:jc w:val="center"/>
        </w:trPr>
        <w:tc>
          <w:tcPr>
            <w:tcW w:w="597" w:type="pct"/>
            <w:vMerge/>
          </w:tcPr>
          <w:p w14:paraId="0126C994" w14:textId="77777777" w:rsidR="005C0158" w:rsidRPr="00486EC5" w:rsidRDefault="005C0158" w:rsidP="004003A3">
            <w:pPr>
              <w:spacing w:line="240" w:lineRule="auto"/>
              <w:rPr>
                <w:rFonts w:asciiTheme="minorHAnsi" w:hAnsiTheme="minorHAnsi" w:cs="Calibri"/>
                <w:b/>
                <w:color w:val="000000"/>
                <w:sz w:val="16"/>
                <w:szCs w:val="16"/>
                <w:lang w:val="el-GR"/>
              </w:rPr>
            </w:pPr>
          </w:p>
        </w:tc>
        <w:tc>
          <w:tcPr>
            <w:tcW w:w="599" w:type="pct"/>
            <w:vMerge/>
          </w:tcPr>
          <w:p w14:paraId="480FE98A" w14:textId="77777777" w:rsidR="005C0158" w:rsidRPr="00486EC5" w:rsidRDefault="005C0158" w:rsidP="004003A3">
            <w:pPr>
              <w:spacing w:before="120" w:after="0" w:line="240" w:lineRule="auto"/>
              <w:rPr>
                <w:rFonts w:asciiTheme="minorHAnsi" w:hAnsiTheme="minorHAnsi" w:cs="Calibri"/>
                <w:sz w:val="16"/>
                <w:szCs w:val="16"/>
                <w:lang w:val="el-GR"/>
              </w:rPr>
            </w:pPr>
          </w:p>
        </w:tc>
        <w:tc>
          <w:tcPr>
            <w:tcW w:w="1190" w:type="pct"/>
            <w:vAlign w:val="center"/>
          </w:tcPr>
          <w:p w14:paraId="257F2482" w14:textId="77777777" w:rsidR="005C0158" w:rsidRPr="00486EC5" w:rsidRDefault="005C0158" w:rsidP="004003A3">
            <w:pPr>
              <w:spacing w:before="120" w:after="0" w:line="240" w:lineRule="auto"/>
              <w:ind w:left="43"/>
              <w:rPr>
                <w:rFonts w:asciiTheme="minorHAnsi" w:hAnsiTheme="minorHAnsi" w:cs="Calibri"/>
                <w:sz w:val="16"/>
                <w:szCs w:val="16"/>
              </w:rPr>
            </w:pPr>
            <w:r w:rsidRPr="00486EC5">
              <w:rPr>
                <w:rFonts w:asciiTheme="minorHAnsi" w:hAnsiTheme="minorHAnsi" w:cs="Calibri"/>
                <w:sz w:val="16"/>
                <w:szCs w:val="16"/>
              </w:rPr>
              <w:t>Ολοκλήρωση Δημόσιας Διαβούλευσης</w:t>
            </w:r>
          </w:p>
        </w:tc>
        <w:tc>
          <w:tcPr>
            <w:tcW w:w="375" w:type="pct"/>
          </w:tcPr>
          <w:p w14:paraId="19A85836" w14:textId="77777777" w:rsidR="005C0158" w:rsidRPr="00486EC5" w:rsidDel="00AD5432" w:rsidRDefault="005C0158" w:rsidP="004003A3">
            <w:pPr>
              <w:snapToGrid w:val="0"/>
              <w:spacing w:before="120" w:after="0" w:line="240" w:lineRule="auto"/>
              <w:ind w:left="14"/>
              <w:jc w:val="center"/>
              <w:rPr>
                <w:rFonts w:asciiTheme="minorHAnsi" w:hAnsiTheme="minorHAnsi" w:cs="Calibri"/>
                <w:sz w:val="16"/>
                <w:szCs w:val="16"/>
              </w:rPr>
            </w:pPr>
            <w:r w:rsidRPr="00486EC5">
              <w:rPr>
                <w:rFonts w:asciiTheme="minorHAnsi" w:hAnsiTheme="minorHAnsi" w:cs="Calibri"/>
                <w:sz w:val="16"/>
                <w:szCs w:val="16"/>
              </w:rPr>
              <w:t>31/07/2015</w:t>
            </w:r>
          </w:p>
        </w:tc>
        <w:tc>
          <w:tcPr>
            <w:tcW w:w="423" w:type="pct"/>
            <w:vMerge/>
          </w:tcPr>
          <w:p w14:paraId="6A4CBFF2"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49" w:type="pct"/>
            <w:vMerge/>
            <w:shd w:val="clear" w:color="auto" w:fill="auto"/>
          </w:tcPr>
          <w:p w14:paraId="1D6C86D3"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17" w:type="pct"/>
            <w:vMerge/>
            <w:shd w:val="clear" w:color="auto" w:fill="auto"/>
          </w:tcPr>
          <w:p w14:paraId="677D134F"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58" w:type="pct"/>
            <w:shd w:val="clear" w:color="auto" w:fill="auto"/>
          </w:tcPr>
          <w:p w14:paraId="445AA28E"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r w:rsidRPr="00486EC5">
              <w:rPr>
                <w:rFonts w:asciiTheme="minorHAnsi" w:hAnsiTheme="minorHAnsi" w:cs="Calibri"/>
                <w:color w:val="000000"/>
                <w:sz w:val="16"/>
                <w:szCs w:val="16"/>
              </w:rPr>
              <w:t>31/10/2016</w:t>
            </w:r>
          </w:p>
        </w:tc>
        <w:tc>
          <w:tcPr>
            <w:tcW w:w="792" w:type="pct"/>
            <w:vMerge/>
            <w:shd w:val="clear" w:color="auto" w:fill="auto"/>
          </w:tcPr>
          <w:p w14:paraId="641AE7CB" w14:textId="77777777" w:rsidR="005C0158" w:rsidRPr="00486EC5" w:rsidRDefault="005C0158" w:rsidP="004003A3">
            <w:pPr>
              <w:snapToGrid w:val="0"/>
              <w:spacing w:before="120" w:after="0" w:line="240" w:lineRule="auto"/>
              <w:rPr>
                <w:rFonts w:asciiTheme="minorHAnsi" w:hAnsiTheme="minorHAnsi" w:cs="Calibri"/>
                <w:color w:val="000000"/>
                <w:sz w:val="16"/>
                <w:szCs w:val="16"/>
              </w:rPr>
            </w:pPr>
          </w:p>
        </w:tc>
      </w:tr>
      <w:tr w:rsidR="005C0158" w:rsidRPr="00486EC5" w14:paraId="15B79DC8" w14:textId="77777777" w:rsidTr="004003A3">
        <w:trPr>
          <w:trHeight w:val="840"/>
          <w:jc w:val="center"/>
        </w:trPr>
        <w:tc>
          <w:tcPr>
            <w:tcW w:w="597" w:type="pct"/>
            <w:vMerge/>
          </w:tcPr>
          <w:p w14:paraId="35E60F1A" w14:textId="77777777" w:rsidR="005C0158" w:rsidRPr="00486EC5" w:rsidRDefault="005C0158" w:rsidP="004003A3">
            <w:pPr>
              <w:spacing w:line="240" w:lineRule="auto"/>
              <w:rPr>
                <w:rFonts w:asciiTheme="minorHAnsi" w:hAnsiTheme="minorHAnsi" w:cs="Calibri"/>
                <w:b/>
                <w:color w:val="000000"/>
                <w:sz w:val="16"/>
                <w:szCs w:val="16"/>
              </w:rPr>
            </w:pPr>
          </w:p>
        </w:tc>
        <w:tc>
          <w:tcPr>
            <w:tcW w:w="599" w:type="pct"/>
            <w:vMerge/>
          </w:tcPr>
          <w:p w14:paraId="55DE37AE" w14:textId="77777777" w:rsidR="005C0158" w:rsidRPr="00486EC5" w:rsidRDefault="005C0158" w:rsidP="004003A3">
            <w:pPr>
              <w:spacing w:before="120" w:after="0" w:line="240" w:lineRule="auto"/>
              <w:rPr>
                <w:rFonts w:asciiTheme="minorHAnsi" w:hAnsiTheme="minorHAnsi" w:cs="Calibri"/>
                <w:sz w:val="16"/>
                <w:szCs w:val="16"/>
              </w:rPr>
            </w:pPr>
          </w:p>
        </w:tc>
        <w:tc>
          <w:tcPr>
            <w:tcW w:w="1190" w:type="pct"/>
            <w:vAlign w:val="center"/>
          </w:tcPr>
          <w:p w14:paraId="490AE2E1" w14:textId="77777777" w:rsidR="005C0158" w:rsidRPr="00486EC5" w:rsidRDefault="005C0158" w:rsidP="004003A3">
            <w:pPr>
              <w:spacing w:before="120" w:after="0" w:line="240" w:lineRule="auto"/>
              <w:ind w:left="43"/>
              <w:rPr>
                <w:rFonts w:asciiTheme="minorHAnsi" w:hAnsiTheme="minorHAnsi" w:cs="Calibri"/>
                <w:sz w:val="16"/>
                <w:szCs w:val="16"/>
                <w:lang w:val="el-GR"/>
              </w:rPr>
            </w:pPr>
            <w:r w:rsidRPr="00486EC5">
              <w:rPr>
                <w:rFonts w:asciiTheme="minorHAnsi" w:hAnsiTheme="minorHAnsi" w:cs="Calibri"/>
                <w:sz w:val="16"/>
                <w:szCs w:val="16"/>
                <w:lang w:val="el-GR"/>
              </w:rPr>
              <w:t>Νομοτεχνικός Έλεγχος από Νομική Υπηρεσία</w:t>
            </w:r>
          </w:p>
        </w:tc>
        <w:tc>
          <w:tcPr>
            <w:tcW w:w="375" w:type="pct"/>
          </w:tcPr>
          <w:p w14:paraId="41AEB551" w14:textId="77777777" w:rsidR="005C0158" w:rsidRPr="00486EC5" w:rsidRDefault="005C0158" w:rsidP="004003A3">
            <w:pPr>
              <w:snapToGrid w:val="0"/>
              <w:spacing w:before="120" w:after="0" w:line="240" w:lineRule="auto"/>
              <w:ind w:left="14"/>
              <w:jc w:val="center"/>
              <w:rPr>
                <w:rFonts w:asciiTheme="minorHAnsi" w:hAnsiTheme="minorHAnsi" w:cs="Calibri"/>
                <w:sz w:val="16"/>
                <w:szCs w:val="16"/>
              </w:rPr>
            </w:pPr>
            <w:r w:rsidRPr="00486EC5">
              <w:rPr>
                <w:rFonts w:asciiTheme="minorHAnsi" w:hAnsiTheme="minorHAnsi" w:cs="Calibri"/>
                <w:sz w:val="16"/>
                <w:szCs w:val="16"/>
              </w:rPr>
              <w:t>30/11/2015</w:t>
            </w:r>
          </w:p>
        </w:tc>
        <w:tc>
          <w:tcPr>
            <w:tcW w:w="423" w:type="pct"/>
            <w:vMerge/>
          </w:tcPr>
          <w:p w14:paraId="666ECDA0"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49" w:type="pct"/>
            <w:vMerge/>
            <w:shd w:val="clear" w:color="auto" w:fill="auto"/>
          </w:tcPr>
          <w:p w14:paraId="43D34DDD"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17" w:type="pct"/>
            <w:vMerge/>
            <w:shd w:val="clear" w:color="auto" w:fill="auto"/>
          </w:tcPr>
          <w:p w14:paraId="1C5EEFDA"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58" w:type="pct"/>
            <w:vMerge w:val="restart"/>
            <w:shd w:val="clear" w:color="auto" w:fill="auto"/>
          </w:tcPr>
          <w:p w14:paraId="01244C80"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792" w:type="pct"/>
            <w:vMerge/>
            <w:shd w:val="clear" w:color="auto" w:fill="auto"/>
          </w:tcPr>
          <w:p w14:paraId="689776DB" w14:textId="77777777" w:rsidR="005C0158" w:rsidRPr="00486EC5" w:rsidRDefault="005C0158" w:rsidP="004003A3">
            <w:pPr>
              <w:snapToGrid w:val="0"/>
              <w:spacing w:before="120" w:after="0" w:line="240" w:lineRule="auto"/>
              <w:rPr>
                <w:rFonts w:asciiTheme="minorHAnsi" w:hAnsiTheme="minorHAnsi" w:cs="Calibri"/>
                <w:color w:val="000000"/>
                <w:sz w:val="16"/>
                <w:szCs w:val="16"/>
              </w:rPr>
            </w:pPr>
          </w:p>
        </w:tc>
      </w:tr>
      <w:tr w:rsidR="005C0158" w:rsidRPr="00486EC5" w14:paraId="166ADE7D" w14:textId="77777777" w:rsidTr="004003A3">
        <w:trPr>
          <w:trHeight w:val="271"/>
          <w:jc w:val="center"/>
        </w:trPr>
        <w:tc>
          <w:tcPr>
            <w:tcW w:w="597" w:type="pct"/>
            <w:vMerge/>
            <w:tcBorders>
              <w:bottom w:val="single" w:sz="4" w:space="0" w:color="auto"/>
            </w:tcBorders>
          </w:tcPr>
          <w:p w14:paraId="402CC804" w14:textId="77777777" w:rsidR="005C0158" w:rsidRPr="00486EC5" w:rsidRDefault="005C0158" w:rsidP="004003A3">
            <w:pPr>
              <w:spacing w:line="240" w:lineRule="auto"/>
              <w:rPr>
                <w:rFonts w:asciiTheme="minorHAnsi" w:hAnsiTheme="minorHAnsi" w:cs="Calibri"/>
                <w:b/>
                <w:color w:val="000000"/>
                <w:sz w:val="16"/>
                <w:szCs w:val="16"/>
              </w:rPr>
            </w:pPr>
          </w:p>
        </w:tc>
        <w:tc>
          <w:tcPr>
            <w:tcW w:w="599" w:type="pct"/>
            <w:vMerge/>
          </w:tcPr>
          <w:p w14:paraId="11020A70" w14:textId="77777777" w:rsidR="005C0158" w:rsidRPr="00486EC5" w:rsidRDefault="005C0158" w:rsidP="004003A3">
            <w:pPr>
              <w:spacing w:before="120" w:after="0" w:line="240" w:lineRule="auto"/>
              <w:rPr>
                <w:rFonts w:asciiTheme="minorHAnsi" w:hAnsiTheme="minorHAnsi" w:cs="Calibri"/>
                <w:sz w:val="16"/>
                <w:szCs w:val="16"/>
              </w:rPr>
            </w:pPr>
          </w:p>
        </w:tc>
        <w:tc>
          <w:tcPr>
            <w:tcW w:w="1190" w:type="pct"/>
            <w:vAlign w:val="center"/>
          </w:tcPr>
          <w:p w14:paraId="16571B05" w14:textId="77777777" w:rsidR="005C0158" w:rsidRPr="00486EC5" w:rsidRDefault="005C0158" w:rsidP="004003A3">
            <w:pPr>
              <w:spacing w:before="120" w:after="0" w:line="240" w:lineRule="auto"/>
              <w:ind w:left="43"/>
              <w:rPr>
                <w:rFonts w:asciiTheme="minorHAnsi" w:hAnsiTheme="minorHAnsi" w:cs="Calibri"/>
                <w:sz w:val="16"/>
                <w:szCs w:val="16"/>
                <w:lang w:val="el-GR"/>
              </w:rPr>
            </w:pPr>
            <w:r w:rsidRPr="00486EC5">
              <w:rPr>
                <w:rFonts w:asciiTheme="minorHAnsi" w:hAnsiTheme="minorHAnsi" w:cs="Calibri"/>
                <w:sz w:val="16"/>
                <w:szCs w:val="16"/>
                <w:lang w:val="el-GR"/>
              </w:rPr>
              <w:t xml:space="preserve">Έγκριση Κανονισμών από Υπουργικό Συμβούλιο </w:t>
            </w:r>
          </w:p>
        </w:tc>
        <w:tc>
          <w:tcPr>
            <w:tcW w:w="375" w:type="pct"/>
          </w:tcPr>
          <w:p w14:paraId="26B4485D" w14:textId="77777777" w:rsidR="005C0158" w:rsidRPr="00486EC5" w:rsidDel="00AD5432" w:rsidRDefault="005C0158" w:rsidP="004003A3">
            <w:pPr>
              <w:snapToGrid w:val="0"/>
              <w:spacing w:before="120" w:after="0" w:line="240" w:lineRule="auto"/>
              <w:ind w:left="14"/>
              <w:jc w:val="center"/>
              <w:rPr>
                <w:rFonts w:asciiTheme="minorHAnsi" w:hAnsiTheme="minorHAnsi" w:cs="Calibri"/>
                <w:sz w:val="16"/>
                <w:szCs w:val="16"/>
              </w:rPr>
            </w:pPr>
            <w:r w:rsidRPr="00486EC5">
              <w:rPr>
                <w:rFonts w:asciiTheme="minorHAnsi" w:hAnsiTheme="minorHAnsi" w:cs="Calibri"/>
                <w:sz w:val="16"/>
                <w:szCs w:val="16"/>
              </w:rPr>
              <w:t>31/12/2015</w:t>
            </w:r>
          </w:p>
        </w:tc>
        <w:tc>
          <w:tcPr>
            <w:tcW w:w="423" w:type="pct"/>
            <w:vMerge/>
          </w:tcPr>
          <w:p w14:paraId="6D48DE71"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49" w:type="pct"/>
            <w:vMerge/>
            <w:shd w:val="clear" w:color="auto" w:fill="auto"/>
          </w:tcPr>
          <w:p w14:paraId="1F8A79E8"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17" w:type="pct"/>
            <w:vMerge/>
            <w:shd w:val="clear" w:color="auto" w:fill="auto"/>
          </w:tcPr>
          <w:p w14:paraId="1E737FA4"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358" w:type="pct"/>
            <w:vMerge/>
            <w:shd w:val="clear" w:color="auto" w:fill="auto"/>
          </w:tcPr>
          <w:p w14:paraId="4FF47F8F" w14:textId="77777777" w:rsidR="005C0158" w:rsidRPr="00486EC5" w:rsidRDefault="005C0158" w:rsidP="004003A3">
            <w:pPr>
              <w:snapToGrid w:val="0"/>
              <w:spacing w:before="120" w:after="0" w:line="240" w:lineRule="auto"/>
              <w:jc w:val="center"/>
              <w:rPr>
                <w:rFonts w:asciiTheme="minorHAnsi" w:hAnsiTheme="minorHAnsi" w:cs="Calibri"/>
                <w:color w:val="000000"/>
                <w:sz w:val="16"/>
                <w:szCs w:val="16"/>
              </w:rPr>
            </w:pPr>
          </w:p>
        </w:tc>
        <w:tc>
          <w:tcPr>
            <w:tcW w:w="792" w:type="pct"/>
            <w:vMerge/>
            <w:shd w:val="clear" w:color="auto" w:fill="auto"/>
          </w:tcPr>
          <w:p w14:paraId="71CE67A3" w14:textId="77777777" w:rsidR="005C0158" w:rsidRPr="00486EC5" w:rsidRDefault="005C0158" w:rsidP="004003A3">
            <w:pPr>
              <w:snapToGrid w:val="0"/>
              <w:spacing w:before="120" w:after="0" w:line="240" w:lineRule="auto"/>
              <w:rPr>
                <w:rFonts w:asciiTheme="minorHAnsi" w:hAnsiTheme="minorHAnsi" w:cs="Calibri"/>
                <w:color w:val="000000"/>
                <w:sz w:val="16"/>
                <w:szCs w:val="16"/>
              </w:rPr>
            </w:pPr>
          </w:p>
        </w:tc>
      </w:tr>
      <w:bookmarkEnd w:id="24"/>
      <w:tr w:rsidR="005C0158" w:rsidRPr="00486EC5" w14:paraId="7CE21E44" w14:textId="77777777" w:rsidTr="004003A3">
        <w:trPr>
          <w:trHeight w:val="1287"/>
          <w:jc w:val="center"/>
        </w:trPr>
        <w:tc>
          <w:tcPr>
            <w:tcW w:w="597" w:type="pct"/>
            <w:vMerge w:val="restart"/>
          </w:tcPr>
          <w:p w14:paraId="1CE62812"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hAnsiTheme="minorHAnsi" w:cs="Calibri"/>
                <w:b/>
                <w:i/>
                <w:sz w:val="16"/>
                <w:szCs w:val="16"/>
                <w:lang w:val="el-GR"/>
              </w:rPr>
              <w:t>8.6</w:t>
            </w:r>
            <w:r w:rsidRPr="00486EC5">
              <w:rPr>
                <w:rFonts w:asciiTheme="minorHAnsi" w:eastAsiaTheme="minorHAnsi" w:hAnsiTheme="minorHAnsi" w:cs="Arial"/>
                <w:sz w:val="16"/>
                <w:szCs w:val="16"/>
                <w:lang w:val="el-GR"/>
              </w:rPr>
              <w:t xml:space="preserve"> </w:t>
            </w:r>
            <w:r w:rsidRPr="00486EC5">
              <w:rPr>
                <w:rFonts w:asciiTheme="minorHAnsi" w:eastAsiaTheme="minorHAnsi" w:hAnsiTheme="minorHAnsi" w:cs="Arial"/>
                <w:b/>
                <w:i/>
                <w:sz w:val="16"/>
                <w:szCs w:val="16"/>
                <w:lang w:val="el-GR"/>
              </w:rPr>
              <w:t>Ύπαρξη Στρατηγικού πλαισίου πολιτικής για την προώθηση της Απασχόλησης των Νέων, μεταξύ άλλων μέσω της Υλοποίησης «Εγγύησης για τη Νεολαία».</w:t>
            </w:r>
          </w:p>
        </w:tc>
        <w:tc>
          <w:tcPr>
            <w:tcW w:w="599" w:type="pct"/>
          </w:tcPr>
          <w:p w14:paraId="449BF908"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1. Να υφίσταται ένα στρατηγικό πλαίσιο για την προώθηση της απασχόλησης των νέων, το οποίο:</w:t>
            </w:r>
          </w:p>
        </w:tc>
        <w:tc>
          <w:tcPr>
            <w:tcW w:w="1190" w:type="pct"/>
          </w:tcPr>
          <w:p w14:paraId="2EAD6E1E"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Το Εθνικό Σχέδιο Δράσης για την Απασχόληση των Νέων το οποίο θα ενσωματώνει και Σχέδιο Δράσης για την Εφαρμογή της Σύστασης «Εγγύηση για τη Νεολαία» θα ετοιμαστεί μέχρι το τέλος Δεκεμβρίου 2014.</w:t>
            </w:r>
          </w:p>
          <w:p w14:paraId="4E662FF1"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Το Προσχέδιο του Εθνικού Σχεδίου Δράσης για την εφαρμογή της Σύστασης για τις Εγγυήσεις για τη Νεολαία υποβλήθηκε στην Ευρωπαϊκή Επιτροπή για σχόλια το τέλος του 2013.</w:t>
            </w:r>
          </w:p>
          <w:p w14:paraId="414A0F7C" w14:textId="77777777" w:rsidR="005C0158" w:rsidRPr="00486EC5" w:rsidRDefault="005C0158" w:rsidP="004003A3">
            <w:pPr>
              <w:autoSpaceDE w:val="0"/>
              <w:autoSpaceDN w:val="0"/>
              <w:adjustRightInd w:val="0"/>
              <w:spacing w:before="120" w:after="0" w:line="240" w:lineRule="auto"/>
              <w:rPr>
                <w:rFonts w:asciiTheme="minorHAnsi" w:hAnsiTheme="minorHAnsi" w:cs="Calibri"/>
                <w:color w:val="000000"/>
                <w:sz w:val="16"/>
                <w:szCs w:val="16"/>
                <w:lang w:val="el-GR"/>
              </w:rPr>
            </w:pPr>
            <w:r w:rsidRPr="00486EC5">
              <w:rPr>
                <w:rFonts w:asciiTheme="minorHAnsi" w:eastAsiaTheme="minorHAnsi" w:hAnsiTheme="minorHAnsi" w:cs="Arial"/>
                <w:sz w:val="16"/>
                <w:szCs w:val="16"/>
                <w:lang w:val="el-GR"/>
              </w:rPr>
              <w:t>Η Ομάδα Εργασίας και Ομάδα Συντονισμού που έχουν συσταθεί έχουν ετοιμάσει Προσχέδιο του Εθνικού Σχεδίου Δράσης για την εφαρμογή της Πρωτοβουλίας για τους Νέους σύμφωνα και με σχετική έκθεση χαρτογράφησης της κατάστασης της αγοράς εργασίας για τους νέους που ετοιμάστηκε από το Διεθνές Γραφείο Εργασίας. Το Προσχέδιο θα ολοκληρωθεί μετά τα σχόλια της Επιτροπής κατά τις διμερείς συναντήσεις το Φεβρουάριο του 2014 επί του Προσχεδίου του Εθνικού Σχεδίου Δράσης για την εφαρμογή της Πρωτοβουλίας για τους Νέους το οποίο αποτελεί σημαντικό μέρος του.</w:t>
            </w:r>
          </w:p>
        </w:tc>
        <w:tc>
          <w:tcPr>
            <w:tcW w:w="375" w:type="pct"/>
          </w:tcPr>
          <w:p w14:paraId="5140E734" w14:textId="77777777" w:rsidR="005C0158" w:rsidRPr="00486EC5" w:rsidRDefault="005C0158" w:rsidP="004003A3">
            <w:pPr>
              <w:spacing w:before="120" w:after="0" w:line="240" w:lineRule="auto"/>
              <w:jc w:val="center"/>
              <w:rPr>
                <w:rFonts w:asciiTheme="minorHAnsi" w:hAnsiTheme="minorHAnsi" w:cs="Calibri"/>
                <w:color w:val="000000"/>
                <w:sz w:val="16"/>
                <w:szCs w:val="16"/>
              </w:rPr>
            </w:pPr>
            <w:r w:rsidRPr="00486EC5">
              <w:rPr>
                <w:rFonts w:asciiTheme="minorHAnsi" w:eastAsiaTheme="minorHAnsi" w:hAnsiTheme="minorHAnsi" w:cs="Arial"/>
                <w:sz w:val="16"/>
                <w:szCs w:val="16"/>
                <w:lang w:val="el-GR"/>
              </w:rPr>
              <w:t>31/12/2014</w:t>
            </w:r>
          </w:p>
        </w:tc>
        <w:tc>
          <w:tcPr>
            <w:tcW w:w="423" w:type="pct"/>
          </w:tcPr>
          <w:p w14:paraId="41F2A9F4" w14:textId="77777777" w:rsidR="005C0158" w:rsidRPr="00486EC5" w:rsidRDefault="005C0158" w:rsidP="004003A3">
            <w:pPr>
              <w:autoSpaceDE w:val="0"/>
              <w:autoSpaceDN w:val="0"/>
              <w:adjustRightInd w:val="0"/>
              <w:spacing w:before="120" w:after="0" w:line="240" w:lineRule="auto"/>
              <w:jc w:val="center"/>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Τμήμα Εργασίας, Υπουργείο Εργασίας, Πρόνοιας και Κοινωνικών Ασφαλίσεων</w:t>
            </w:r>
          </w:p>
        </w:tc>
        <w:tc>
          <w:tcPr>
            <w:tcW w:w="349" w:type="pct"/>
          </w:tcPr>
          <w:p w14:paraId="156EDD58"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eastAsiaTheme="minorHAnsi" w:hAnsiTheme="minorHAnsi" w:cs="Arial"/>
                <w:sz w:val="16"/>
                <w:szCs w:val="16"/>
                <w:lang w:val="el-GR"/>
              </w:rPr>
              <w:t>ΝΑΙ</w:t>
            </w:r>
          </w:p>
        </w:tc>
        <w:tc>
          <w:tcPr>
            <w:tcW w:w="317" w:type="pct"/>
          </w:tcPr>
          <w:p w14:paraId="592E3B6E"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eastAsiaTheme="minorHAnsi" w:hAnsiTheme="minorHAnsi" w:cs="Arial"/>
                <w:sz w:val="16"/>
                <w:szCs w:val="16"/>
                <w:lang w:val="el-GR"/>
              </w:rPr>
              <w:t>ΝΑΙ</w:t>
            </w:r>
          </w:p>
        </w:tc>
        <w:tc>
          <w:tcPr>
            <w:tcW w:w="358" w:type="pct"/>
          </w:tcPr>
          <w:p w14:paraId="5DAAC938"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792" w:type="pct"/>
          </w:tcPr>
          <w:p w14:paraId="7BF65683"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Το Εθνικό Σχέδιο Δράσης για την Απασχόληση των Νέων (ΕΣΔΑΝ), αποτελεί στρατηγικό πλαίσιο πολιτικής που συνδυάζει βραχυπρόθεσμες και μεσοπρόθεσμες δράσεις με στόχο την αύξηση της απασχόλησης των νέων (15</w:t>
            </w:r>
            <w:r w:rsidRPr="00486EC5">
              <w:rPr>
                <w:rFonts w:asciiTheme="minorHAnsi" w:eastAsiaTheme="minorHAnsi" w:hAnsiTheme="minorHAnsi" w:cs="Cambria"/>
                <w:sz w:val="16"/>
                <w:szCs w:val="16"/>
                <w:lang w:val="el-GR"/>
              </w:rPr>
              <w:t>‐</w:t>
            </w:r>
            <w:r w:rsidRPr="00486EC5">
              <w:rPr>
                <w:rFonts w:asciiTheme="minorHAnsi" w:eastAsiaTheme="minorHAnsi" w:hAnsiTheme="minorHAnsi" w:cs="Arial"/>
                <w:sz w:val="16"/>
                <w:szCs w:val="16"/>
                <w:lang w:val="el-GR"/>
              </w:rPr>
              <w:t>29) και την καταπολέμηση της ανεργίας της ίδιας ηλικιακής Ομάδας Στόχου, έχει εγκριθεί από το Υπουργικό Συμβούλιο στις 23/12/2014.</w:t>
            </w:r>
          </w:p>
          <w:p w14:paraId="3461D262"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Η απόφαση του Υπουργικού Συμβουλίου εξουσιοδοτεί την Υπουργό Εργασίας να προβεί σε περαιτέρω αλλαγές/ τροποποιήσεις του Σχεδίου σε περίπτωση ανάγκης και επανεξέτασης πολιτικής.</w:t>
            </w:r>
          </w:p>
          <w:p w14:paraId="27D0B792"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Το ΕΣΔΑΝ συμπεριλαμβάνει επίσης την υλοποίηση της σύστασης «Εγγύηση για τη Νεολαία» η οποία έχει ήδη εγκριθεί από το Υπουργικό Συμβούλιο και υποβλήθηκε στην ΕΕ τον Δεκέμβριο του 2013.</w:t>
            </w:r>
          </w:p>
          <w:p w14:paraId="0D1F17D6"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lastRenderedPageBreak/>
              <w:t>Η περιγραφή της εκπλήρωσης των κριτηρίων της Γενικής εκ των προτέρων αιρεσιμότητας υποβλήθηκε από τη Διαχειριστική Αρχή προς την Ευρωπαϊκή Επιτροπή στις 29/6/15, η οποία τα ενέκρινε στις 28/8/15.</w:t>
            </w:r>
          </w:p>
        </w:tc>
      </w:tr>
      <w:tr w:rsidR="005C0158" w:rsidRPr="00486EC5" w14:paraId="0192019B" w14:textId="77777777" w:rsidTr="004003A3">
        <w:trPr>
          <w:trHeight w:val="1325"/>
          <w:jc w:val="center"/>
        </w:trPr>
        <w:tc>
          <w:tcPr>
            <w:tcW w:w="597" w:type="pct"/>
            <w:vMerge/>
          </w:tcPr>
          <w:p w14:paraId="09B01962"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tcPr>
          <w:p w14:paraId="43CA6FAF"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2. βασίζεται σε στοιχεία που μετρούν τα αποτελέσματα για τους νέους οι οποίοι βρίσκονται εκτός απασχόλησης, εκπαίδευσης ή κατάρτισης και αποτελεί μια βάση για τη χάραξη στοχευμένων πολιτικών και την παρακολούθηση των εξελίξεων.</w:t>
            </w:r>
          </w:p>
        </w:tc>
        <w:tc>
          <w:tcPr>
            <w:tcW w:w="1190" w:type="pct"/>
          </w:tcPr>
          <w:p w14:paraId="482B776C"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Το Σχέδιο Δράσης θα περιλαμβάνει ολοκληρωμένο και ενιαίο σύστημα συνεχούς παρακολούθησης και αξιολόγησης των μέτρων που θα υλοποιηθούν.</w:t>
            </w:r>
          </w:p>
        </w:tc>
        <w:tc>
          <w:tcPr>
            <w:tcW w:w="375" w:type="pct"/>
          </w:tcPr>
          <w:p w14:paraId="469144D3" w14:textId="77777777" w:rsidR="005C0158" w:rsidRPr="00486EC5" w:rsidRDefault="005C0158" w:rsidP="004003A3">
            <w:pPr>
              <w:spacing w:before="120" w:after="0" w:line="240" w:lineRule="auto"/>
              <w:jc w:val="center"/>
              <w:rPr>
                <w:rFonts w:asciiTheme="minorHAnsi" w:hAnsiTheme="minorHAnsi" w:cs="Calibri"/>
                <w:color w:val="000000"/>
                <w:sz w:val="16"/>
                <w:szCs w:val="16"/>
              </w:rPr>
            </w:pPr>
            <w:r w:rsidRPr="00486EC5">
              <w:rPr>
                <w:rFonts w:asciiTheme="minorHAnsi" w:eastAsiaTheme="minorHAnsi" w:hAnsiTheme="minorHAnsi" w:cs="Arial"/>
                <w:sz w:val="16"/>
                <w:szCs w:val="16"/>
                <w:lang w:val="el-GR"/>
              </w:rPr>
              <w:t>31/12/2014</w:t>
            </w:r>
          </w:p>
        </w:tc>
        <w:tc>
          <w:tcPr>
            <w:tcW w:w="423" w:type="pct"/>
          </w:tcPr>
          <w:p w14:paraId="4E0A1D48" w14:textId="77777777" w:rsidR="005C0158" w:rsidRPr="00486EC5" w:rsidRDefault="005C0158" w:rsidP="004003A3">
            <w:pPr>
              <w:autoSpaceDE w:val="0"/>
              <w:autoSpaceDN w:val="0"/>
              <w:adjustRightInd w:val="0"/>
              <w:spacing w:before="120" w:after="0" w:line="240" w:lineRule="auto"/>
              <w:jc w:val="center"/>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Τμήμα Εργασίας, Υπουργείο Εργασίας, Πρόνοιας και Κοινωνικών Ασφαλίσεων</w:t>
            </w:r>
          </w:p>
        </w:tc>
        <w:tc>
          <w:tcPr>
            <w:tcW w:w="349" w:type="pct"/>
          </w:tcPr>
          <w:p w14:paraId="751229B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eastAsiaTheme="minorHAnsi" w:hAnsiTheme="minorHAnsi" w:cs="Arial"/>
                <w:sz w:val="16"/>
                <w:szCs w:val="16"/>
                <w:lang w:val="el-GR"/>
              </w:rPr>
              <w:t>ΝΑΙ</w:t>
            </w:r>
          </w:p>
        </w:tc>
        <w:tc>
          <w:tcPr>
            <w:tcW w:w="317" w:type="pct"/>
          </w:tcPr>
          <w:p w14:paraId="54D689FF"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eastAsiaTheme="minorHAnsi" w:hAnsiTheme="minorHAnsi" w:cs="Arial"/>
                <w:sz w:val="16"/>
                <w:szCs w:val="16"/>
                <w:lang w:val="el-GR"/>
              </w:rPr>
              <w:t>ΝΑΙ</w:t>
            </w:r>
          </w:p>
        </w:tc>
        <w:tc>
          <w:tcPr>
            <w:tcW w:w="358" w:type="pct"/>
          </w:tcPr>
          <w:p w14:paraId="4578F10D"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792" w:type="pct"/>
          </w:tcPr>
          <w:p w14:paraId="4BC44B66"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Έχει συσταθεί επίσης Ομάδα Εργασίας με πρωτοβουλία του ΤΕ για τη σύσταση ενός Ενιαίου Συστήματος παρακολούθησης και αξιολόγησης των Ενεργών Μέτρων Πολιτικής Απασχόλησης. Ο σχεδιασμός του συστήματος αυτού έχει ολοκληρωθεί και βασίζεται στους δείκτες της Σύστασης για Νεολαία, όπως αυτή αποφασίστηκε στην ομάδα εργασίας «Indicators Group» της Ευρωπαϊκής Επιτροπής, καθώς επίσης στους δείκτες του ΕΚΤ.</w:t>
            </w:r>
          </w:p>
          <w:p w14:paraId="448D736D"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Η υλοποίηση του μηχανογραφημένου συστήματος για άντληση της πληροφόρησης από όλους τους εμπλεκόμενους φορείς υλοποίησης ΕΜΠΑ ολοκληρώθηκε το 2016.</w:t>
            </w:r>
          </w:p>
        </w:tc>
      </w:tr>
      <w:tr w:rsidR="005C0158" w:rsidRPr="00486EC5" w14:paraId="217B2621" w14:textId="77777777" w:rsidTr="004003A3">
        <w:trPr>
          <w:trHeight w:val="1325"/>
          <w:jc w:val="center"/>
        </w:trPr>
        <w:tc>
          <w:tcPr>
            <w:tcW w:w="597" w:type="pct"/>
            <w:vMerge/>
          </w:tcPr>
          <w:p w14:paraId="59544517"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tcPr>
          <w:p w14:paraId="10EB5C86"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3. Προσδιορίζει την οικεία δημόσια αρχή που θα είναι υπεύθυνη για τη διαχείριση μέτρων υπέρ της απασχόλησης των νέων και το συντονισμό των εταιρικών σχέσεων σε όλα τα επίπεδα και σε όλους τους τομείς.</w:t>
            </w:r>
          </w:p>
        </w:tc>
        <w:tc>
          <w:tcPr>
            <w:tcW w:w="1190" w:type="pct"/>
          </w:tcPr>
          <w:p w14:paraId="30494577"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Το Τμήμα Εργασίας έχει οριστεί ως ο συντονιστικός φορέας συγγραφής και παρακολούθησης της εφαρμογής του Σχεδίου Δράσης για την «Εγγύηση για την Νεολαία», έχει τακτές συναντήσεις και έχει διαβουλευτεί με όλους τους φορείς που έχουν σχέση με την αντιμετώπιση της ανεργίας των νέων, περιλαμβανομένων και των ίδιων των νέων.</w:t>
            </w:r>
          </w:p>
        </w:tc>
        <w:tc>
          <w:tcPr>
            <w:tcW w:w="375" w:type="pct"/>
          </w:tcPr>
          <w:p w14:paraId="05FAB655" w14:textId="77777777" w:rsidR="005C0158" w:rsidRPr="00486EC5" w:rsidRDefault="005C0158" w:rsidP="004003A3">
            <w:pPr>
              <w:spacing w:before="120" w:after="0" w:line="240" w:lineRule="auto"/>
              <w:jc w:val="center"/>
              <w:rPr>
                <w:rFonts w:asciiTheme="minorHAnsi" w:hAnsiTheme="minorHAnsi" w:cs="Calibri"/>
                <w:color w:val="000000"/>
                <w:sz w:val="16"/>
                <w:szCs w:val="16"/>
              </w:rPr>
            </w:pPr>
            <w:r w:rsidRPr="00486EC5">
              <w:rPr>
                <w:rFonts w:asciiTheme="minorHAnsi" w:eastAsiaTheme="minorHAnsi" w:hAnsiTheme="minorHAnsi" w:cs="Arial"/>
                <w:sz w:val="16"/>
                <w:szCs w:val="16"/>
                <w:lang w:val="el-GR"/>
              </w:rPr>
              <w:t>31/12/2014</w:t>
            </w:r>
          </w:p>
        </w:tc>
        <w:tc>
          <w:tcPr>
            <w:tcW w:w="423" w:type="pct"/>
          </w:tcPr>
          <w:p w14:paraId="7E319505" w14:textId="77777777" w:rsidR="005C0158" w:rsidRPr="00486EC5" w:rsidRDefault="005C0158" w:rsidP="004003A3">
            <w:pPr>
              <w:autoSpaceDE w:val="0"/>
              <w:autoSpaceDN w:val="0"/>
              <w:adjustRightInd w:val="0"/>
              <w:spacing w:before="120" w:after="0" w:line="240" w:lineRule="auto"/>
              <w:jc w:val="center"/>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Τμήμα Εργασίας, Υπουργείο Εργασίας, Πρόνοιας και Κοινωνικών Ασφαλίσεων</w:t>
            </w:r>
          </w:p>
        </w:tc>
        <w:tc>
          <w:tcPr>
            <w:tcW w:w="349" w:type="pct"/>
          </w:tcPr>
          <w:p w14:paraId="4F2EDF38"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eastAsiaTheme="minorHAnsi" w:hAnsiTheme="minorHAnsi" w:cs="Arial"/>
                <w:sz w:val="16"/>
                <w:szCs w:val="16"/>
                <w:lang w:val="el-GR"/>
              </w:rPr>
              <w:t>ΝΑΙ</w:t>
            </w:r>
          </w:p>
        </w:tc>
        <w:tc>
          <w:tcPr>
            <w:tcW w:w="317" w:type="pct"/>
          </w:tcPr>
          <w:p w14:paraId="543651A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eastAsiaTheme="minorHAnsi" w:hAnsiTheme="minorHAnsi" w:cs="Arial"/>
                <w:sz w:val="16"/>
                <w:szCs w:val="16"/>
                <w:lang w:val="el-GR"/>
              </w:rPr>
              <w:t>ΝΑΙ</w:t>
            </w:r>
          </w:p>
        </w:tc>
        <w:tc>
          <w:tcPr>
            <w:tcW w:w="358" w:type="pct"/>
          </w:tcPr>
          <w:p w14:paraId="42E7DD4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792" w:type="pct"/>
          </w:tcPr>
          <w:p w14:paraId="54216DB9"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Το Τμήμα Εργασίας έχει οριστεί ως ο συντονιστικός φορέας συγγραφής και παρακολούθησης της εφαρμογής του Σχεδίου Δράσης για την «Εγγύηση για την Νεολαία», έχει τακτές συναντήσεις και έχει διαβουλευτεί με όλους τους φορείς που έχουν σχέση με την αντιμετώπιση της ανεργίας των νέων, περιλαμβανομένων και των ίδιων των νέων.</w:t>
            </w:r>
          </w:p>
        </w:tc>
      </w:tr>
      <w:tr w:rsidR="005C0158" w:rsidRPr="00486EC5" w14:paraId="3F05347B" w14:textId="77777777" w:rsidTr="004003A3">
        <w:trPr>
          <w:trHeight w:val="1325"/>
          <w:jc w:val="center"/>
        </w:trPr>
        <w:tc>
          <w:tcPr>
            <w:tcW w:w="597" w:type="pct"/>
            <w:vMerge/>
          </w:tcPr>
          <w:p w14:paraId="0C728440"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tcPr>
          <w:p w14:paraId="204850F0"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4. Εμπλέκει τους σχετικούς με την αντιμετώπιση της ανεργίας των νέων ενδιαφερόμενους φορείς</w:t>
            </w:r>
          </w:p>
        </w:tc>
        <w:tc>
          <w:tcPr>
            <w:tcW w:w="1190" w:type="pct"/>
          </w:tcPr>
          <w:p w14:paraId="1155B7D2"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Πριν τη συγγραφή της «Εγγύησης για τη Νεολαία» και του Εθνικού Σχεδίου Δράσης για την Απασχόληση των Νέων (ΕΣΔΑΝ) πραγματοποιήθηκαν ημερίδες διαβούλευσης με όλους τους κοινωνικούς εταίρους, κυβερνητικές υπηρεσίες, Συμβούλιο Νεολαίας κ.α, για απόψεις και εισηγήσεις τους σε θέματα αντιμετώπισης της ανεργίας των νέων.</w:t>
            </w:r>
          </w:p>
          <w:p w14:paraId="2079A259"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Ετοιμασία και αποστολή Τελικού Προσχεδίου ΕΣΔΑΝ στους εμπλεκόμενους φορείς 13/11/14</w:t>
            </w:r>
          </w:p>
          <w:p w14:paraId="7555E681"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Συνάντηση Διαβούλευσης με εμπλεκόμενους φορείς 21/11/14</w:t>
            </w:r>
          </w:p>
          <w:p w14:paraId="7B78C936"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Ετοιμασία αναθεωρημένου ΕΣΔΑΝ και υποβολή του στο Υπουργικό Συμβούλιο Δεκέμβριο 2014. Οι άμεσα εμπλεκόμενοι εταίροι που υλοποιούν τα έργα/ σχέδια θα συμμετέχουν σε όλη τη διαδικασία εφαρμογής και παρακολούθησης του ΕΣΔΑΝ.</w:t>
            </w:r>
          </w:p>
          <w:p w14:paraId="63CC219D"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Επιπρόσθετα, προωθείται η σύσταση Ομάδας Παρακολούθησης της υλοποίησης του ΕΣΔΑΝ με διευρυμένη σύνθεση για συμμετοχή όλων των υπόλοιπων εταίρων.</w:t>
            </w:r>
          </w:p>
        </w:tc>
        <w:tc>
          <w:tcPr>
            <w:tcW w:w="375" w:type="pct"/>
          </w:tcPr>
          <w:p w14:paraId="29326DC3" w14:textId="77777777" w:rsidR="005C0158" w:rsidRPr="00486EC5" w:rsidRDefault="005C0158" w:rsidP="004003A3">
            <w:pPr>
              <w:spacing w:before="120" w:after="0" w:line="240" w:lineRule="auto"/>
              <w:jc w:val="center"/>
              <w:rPr>
                <w:rFonts w:asciiTheme="minorHAnsi" w:hAnsiTheme="minorHAnsi" w:cs="Calibri"/>
                <w:color w:val="000000"/>
                <w:sz w:val="16"/>
                <w:szCs w:val="16"/>
              </w:rPr>
            </w:pPr>
            <w:r w:rsidRPr="00486EC5">
              <w:rPr>
                <w:rFonts w:asciiTheme="minorHAnsi" w:eastAsiaTheme="minorHAnsi" w:hAnsiTheme="minorHAnsi" w:cs="Arial"/>
                <w:sz w:val="16"/>
                <w:szCs w:val="16"/>
                <w:lang w:val="el-GR"/>
              </w:rPr>
              <w:t>31/12/2014</w:t>
            </w:r>
          </w:p>
        </w:tc>
        <w:tc>
          <w:tcPr>
            <w:tcW w:w="423" w:type="pct"/>
          </w:tcPr>
          <w:p w14:paraId="0EA990A2" w14:textId="77777777" w:rsidR="005C0158" w:rsidRPr="00486EC5" w:rsidRDefault="005C0158" w:rsidP="004003A3">
            <w:pPr>
              <w:autoSpaceDE w:val="0"/>
              <w:autoSpaceDN w:val="0"/>
              <w:adjustRightInd w:val="0"/>
              <w:spacing w:before="120" w:after="0" w:line="240" w:lineRule="auto"/>
              <w:jc w:val="center"/>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Τμήμα Εργασίας, Υπουργείο Εργασίας, Πρόνοιας και Κοινωνικών Ασφαλίσεων</w:t>
            </w:r>
          </w:p>
        </w:tc>
        <w:tc>
          <w:tcPr>
            <w:tcW w:w="349" w:type="pct"/>
          </w:tcPr>
          <w:p w14:paraId="1A1E5292"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eastAsiaTheme="minorHAnsi" w:hAnsiTheme="minorHAnsi" w:cs="Arial"/>
                <w:sz w:val="16"/>
                <w:szCs w:val="16"/>
                <w:lang w:val="el-GR"/>
              </w:rPr>
              <w:t>ΝΑΙ</w:t>
            </w:r>
          </w:p>
        </w:tc>
        <w:tc>
          <w:tcPr>
            <w:tcW w:w="317" w:type="pct"/>
          </w:tcPr>
          <w:p w14:paraId="18527BF7"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eastAsiaTheme="minorHAnsi" w:hAnsiTheme="minorHAnsi" w:cs="Arial"/>
                <w:sz w:val="16"/>
                <w:szCs w:val="16"/>
                <w:lang w:val="el-GR"/>
              </w:rPr>
              <w:t>ΝΑΙ</w:t>
            </w:r>
          </w:p>
        </w:tc>
        <w:tc>
          <w:tcPr>
            <w:tcW w:w="358" w:type="pct"/>
          </w:tcPr>
          <w:p w14:paraId="2F6A6CCD"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792" w:type="pct"/>
          </w:tcPr>
          <w:p w14:paraId="20DCC58C"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Το ΕΣΔΑΝ έτυχε διαβούλευσης με Υπουργεία /Κρατικές Υπηρεσίες, τον Οργανισμό Νεολαίας, τους κοινωνικούς εταίρους, τις Αρχές Τοπικής Αυτοδιοίκησης και ακαδημαϊκά ιδρύματα πριν αποσταλεί για έγκριση στο Υπ. Συμβούλιο το Δεκ. 2014.</w:t>
            </w:r>
          </w:p>
          <w:p w14:paraId="509353DD"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Η Υπουργική Απόφαση εισηγείται, τη σύσταση Επιτροπής Παρακολούθησης της υλοποίησης του Εθνικού Σχεδίου η οποία να αποτελείται από τα εμπλεκόμενα κυβερνητικά τμήματα, υπηρεσίες, καθώς και κοινωνικοί εταίροι και οργανωμένα σύνολα νεολαίας.</w:t>
            </w:r>
          </w:p>
        </w:tc>
      </w:tr>
      <w:tr w:rsidR="005C0158" w:rsidRPr="00486EC5" w14:paraId="63F92889" w14:textId="77777777" w:rsidTr="004003A3">
        <w:trPr>
          <w:trHeight w:val="1325"/>
          <w:jc w:val="center"/>
        </w:trPr>
        <w:tc>
          <w:tcPr>
            <w:tcW w:w="597" w:type="pct"/>
            <w:vMerge/>
          </w:tcPr>
          <w:p w14:paraId="45BB1B70"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tcPr>
          <w:p w14:paraId="36187FD7"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5. Καθιστά δυνατή την έγκαιρη παρέμβαση και ενεργοποίηση</w:t>
            </w:r>
          </w:p>
        </w:tc>
        <w:tc>
          <w:tcPr>
            <w:tcW w:w="1190" w:type="pct"/>
          </w:tcPr>
          <w:p w14:paraId="64ED2103"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Κατά τις συναντήσεις των Ομάδων Συντονισμού και Εργασίας έχουν συζητηθεί μέτρα τα οποία αναμένεται να περιληφθούν στο Σχέδιο Δράσης. Παράλληλα λαμβάνονται υπόψη οι συστάσεις του Ευρωπαϊκού Δικτύου Δημοσίων Υπηρεσιών Απασχόλησης.</w:t>
            </w:r>
          </w:p>
        </w:tc>
        <w:tc>
          <w:tcPr>
            <w:tcW w:w="375" w:type="pct"/>
          </w:tcPr>
          <w:p w14:paraId="78185BFC" w14:textId="77777777" w:rsidR="005C0158" w:rsidRPr="00486EC5" w:rsidRDefault="005C0158" w:rsidP="004003A3">
            <w:pPr>
              <w:spacing w:before="120" w:after="0" w:line="240" w:lineRule="auto"/>
              <w:jc w:val="center"/>
              <w:rPr>
                <w:rFonts w:asciiTheme="minorHAnsi" w:hAnsiTheme="minorHAnsi" w:cs="Calibri"/>
                <w:color w:val="000000"/>
                <w:sz w:val="16"/>
                <w:szCs w:val="16"/>
              </w:rPr>
            </w:pPr>
            <w:r w:rsidRPr="00486EC5">
              <w:rPr>
                <w:rFonts w:asciiTheme="minorHAnsi" w:eastAsiaTheme="minorHAnsi" w:hAnsiTheme="minorHAnsi" w:cs="Arial"/>
                <w:sz w:val="16"/>
                <w:szCs w:val="16"/>
                <w:lang w:val="el-GR"/>
              </w:rPr>
              <w:t>31/12/2014</w:t>
            </w:r>
          </w:p>
        </w:tc>
        <w:tc>
          <w:tcPr>
            <w:tcW w:w="423" w:type="pct"/>
          </w:tcPr>
          <w:p w14:paraId="598DC1F7" w14:textId="77777777" w:rsidR="005C0158" w:rsidRPr="00486EC5" w:rsidRDefault="005C0158" w:rsidP="004003A3">
            <w:pPr>
              <w:autoSpaceDE w:val="0"/>
              <w:autoSpaceDN w:val="0"/>
              <w:adjustRightInd w:val="0"/>
              <w:spacing w:before="120" w:after="0" w:line="240" w:lineRule="auto"/>
              <w:jc w:val="center"/>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Τμήμα Εργασίας, Υπουργείο Εργασίας, Πρόνοιας και Κοινωνικών Ασφαλίσεων</w:t>
            </w:r>
          </w:p>
        </w:tc>
        <w:tc>
          <w:tcPr>
            <w:tcW w:w="349" w:type="pct"/>
          </w:tcPr>
          <w:p w14:paraId="2E56FE78"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eastAsiaTheme="minorHAnsi" w:hAnsiTheme="minorHAnsi" w:cs="Arial"/>
                <w:sz w:val="16"/>
                <w:szCs w:val="16"/>
                <w:lang w:val="el-GR"/>
              </w:rPr>
              <w:t>ΝΑΙ</w:t>
            </w:r>
          </w:p>
        </w:tc>
        <w:tc>
          <w:tcPr>
            <w:tcW w:w="317" w:type="pct"/>
          </w:tcPr>
          <w:p w14:paraId="5A6CFDFC"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eastAsiaTheme="minorHAnsi" w:hAnsiTheme="minorHAnsi" w:cs="Arial"/>
                <w:sz w:val="16"/>
                <w:szCs w:val="16"/>
                <w:lang w:val="el-GR"/>
              </w:rPr>
              <w:t>ΝΑΙ</w:t>
            </w:r>
          </w:p>
        </w:tc>
        <w:tc>
          <w:tcPr>
            <w:tcW w:w="358" w:type="pct"/>
          </w:tcPr>
          <w:p w14:paraId="225895D3"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792" w:type="pct"/>
          </w:tcPr>
          <w:p w14:paraId="3B787AFF"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Οι δύο πρώτες προτεραιότητες πολιτικής που καθορίζει το ΕΣΔΑΝ αφορούν:</w:t>
            </w:r>
          </w:p>
          <w:p w14:paraId="18135D15"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α) πρόληψη πρόωρης αποχώρησης από το σχολείο και διευκόλυνση της μετάβασης από το σχολείο στην εργασία, και</w:t>
            </w:r>
          </w:p>
          <w:p w14:paraId="39E6BD4E"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(β) καθορισμός δράσεων δραστηριοποίησης μέσω στοχευόμενων πολιτικών αγοράς εργασίας.</w:t>
            </w:r>
          </w:p>
        </w:tc>
      </w:tr>
      <w:tr w:rsidR="005C0158" w:rsidRPr="00486EC5" w14:paraId="79168A44" w14:textId="77777777" w:rsidTr="004003A3">
        <w:trPr>
          <w:trHeight w:val="1325"/>
          <w:jc w:val="center"/>
        </w:trPr>
        <w:tc>
          <w:tcPr>
            <w:tcW w:w="597" w:type="pct"/>
            <w:vMerge/>
          </w:tcPr>
          <w:p w14:paraId="6894E962"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tcPr>
          <w:p w14:paraId="33CA37BC"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6. Περιλαμβάνει μέτρα στήριξης για την πρόσβαση στην εργασία, τη βελτίωση των δεξιοτήτων, την κινητικότητα των εργαζομένων και τη βιώσιμη ένταξη στην αγορά εργασίας των νέων που βρίσκονται εκτός απασχόλησης, εκπαίδευσης ή κατάρτισης</w:t>
            </w:r>
          </w:p>
        </w:tc>
        <w:tc>
          <w:tcPr>
            <w:tcW w:w="1190" w:type="pct"/>
          </w:tcPr>
          <w:p w14:paraId="6FC8E6AF"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Κατά τις συναντήσεις των Ομάδων Συντονισμού και Εργασίας έχουν συζητηθεί τέτοια μέτρα τα οποία αναμένεται να περιληφθούν στο Σχέδιο Δράσης. Παράλληλα λαμβάνονται υπόψη οι συστάσεις του Ευρωπαϊκού Δικτύου Δημοσίων Υπηρεσιών Απασχόλησης σε σχέση με τα Μέτρα που θα μπορούσαν να περιληφθούν σε αυτό.</w:t>
            </w:r>
          </w:p>
        </w:tc>
        <w:tc>
          <w:tcPr>
            <w:tcW w:w="375" w:type="pct"/>
          </w:tcPr>
          <w:p w14:paraId="0946BB0B" w14:textId="77777777" w:rsidR="005C0158" w:rsidRPr="00486EC5" w:rsidRDefault="005C0158" w:rsidP="004003A3">
            <w:pPr>
              <w:spacing w:before="120" w:after="0" w:line="240" w:lineRule="auto"/>
              <w:jc w:val="center"/>
              <w:rPr>
                <w:rFonts w:asciiTheme="minorHAnsi" w:hAnsiTheme="minorHAnsi" w:cs="Calibri"/>
                <w:color w:val="000000"/>
                <w:sz w:val="16"/>
                <w:szCs w:val="16"/>
              </w:rPr>
            </w:pPr>
            <w:r w:rsidRPr="00486EC5">
              <w:rPr>
                <w:rFonts w:asciiTheme="minorHAnsi" w:eastAsiaTheme="minorHAnsi" w:hAnsiTheme="minorHAnsi" w:cs="Arial"/>
                <w:sz w:val="16"/>
                <w:szCs w:val="16"/>
                <w:lang w:val="el-GR"/>
              </w:rPr>
              <w:t>31/12/2014</w:t>
            </w:r>
          </w:p>
        </w:tc>
        <w:tc>
          <w:tcPr>
            <w:tcW w:w="423" w:type="pct"/>
          </w:tcPr>
          <w:p w14:paraId="79824506" w14:textId="77777777" w:rsidR="005C0158" w:rsidRPr="00486EC5" w:rsidRDefault="005C0158" w:rsidP="004003A3">
            <w:pPr>
              <w:autoSpaceDE w:val="0"/>
              <w:autoSpaceDN w:val="0"/>
              <w:adjustRightInd w:val="0"/>
              <w:spacing w:before="120" w:after="0" w:line="240" w:lineRule="auto"/>
              <w:jc w:val="center"/>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Τμήμα Εργασίας, Υπουργείο Εργασίας, Πρόνοιας και Κοινωνικών Ασφαλίσεων</w:t>
            </w:r>
          </w:p>
        </w:tc>
        <w:tc>
          <w:tcPr>
            <w:tcW w:w="349" w:type="pct"/>
          </w:tcPr>
          <w:p w14:paraId="159EE195"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17" w:type="pct"/>
          </w:tcPr>
          <w:p w14:paraId="0B40C1E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4E5BC4A3"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792" w:type="pct"/>
          </w:tcPr>
          <w:p w14:paraId="31937583"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(α) πρόληψη πρόωρης αποχώρησης από το σχολείο και διευκόλυνση της μετάβασης από το σχολείο στην εργασία</w:t>
            </w:r>
          </w:p>
          <w:p w14:paraId="010FE355"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(β) καθορισμός δράσεων δραστηριοποίησης μέσω στοχευμένων πολιτικών αγοράς εργασίας</w:t>
            </w:r>
          </w:p>
          <w:p w14:paraId="5990E4F5"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(γ) εισαγωγή της Εθνικής Εγγύησης για τη Νεολαία</w:t>
            </w:r>
          </w:p>
          <w:p w14:paraId="26AC63DF"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(δ) τόνωση της ζήτησης εργασίας μέσω τομεακής ανάπτυξης, προώθησης των μικρών και μεσαίων επιχειρήσεων και ανάπτυξης της επιχειρηματικότητας</w:t>
            </w:r>
          </w:p>
          <w:p w14:paraId="3E803149"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(ε) σχεδιασμός πολιτικών προσέγγισης για αύξηση της ένταξης των νέων στην αγορά εργασίας</w:t>
            </w:r>
          </w:p>
          <w:p w14:paraId="56EF9E1A"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lastRenderedPageBreak/>
              <w:t>(ζ) Ενίσχυση της αποτελεσματικότητας και του αντίκτυπου  των υπηρεσιών απασχόλησης και των πολιτικών για την αγορά εργασίας</w:t>
            </w:r>
          </w:p>
          <w:p w14:paraId="41912A74"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(η) Παρακολούθηση και αξιολόγηση των πολιτικών στην αγορά εργασίας</w:t>
            </w:r>
          </w:p>
        </w:tc>
      </w:tr>
      <w:tr w:rsidR="005C0158" w:rsidRPr="00486EC5" w14:paraId="31EA10B8" w14:textId="77777777" w:rsidTr="004003A3">
        <w:trPr>
          <w:trHeight w:val="1325"/>
          <w:jc w:val="center"/>
        </w:trPr>
        <w:tc>
          <w:tcPr>
            <w:tcW w:w="597" w:type="pct"/>
            <w:vMerge w:val="restart"/>
          </w:tcPr>
          <w:p w14:paraId="70C342A5" w14:textId="77777777" w:rsidR="005C0158" w:rsidRPr="00486EC5" w:rsidRDefault="005C0158" w:rsidP="004003A3">
            <w:pPr>
              <w:spacing w:before="120" w:after="0" w:line="240" w:lineRule="auto"/>
              <w:rPr>
                <w:rFonts w:asciiTheme="minorHAnsi" w:hAnsiTheme="minorHAnsi" w:cs="Calibri"/>
                <w:b/>
                <w:i/>
                <w:sz w:val="16"/>
                <w:szCs w:val="16"/>
                <w:lang w:val="el-GR"/>
              </w:rPr>
            </w:pPr>
            <w:r w:rsidRPr="00486EC5">
              <w:rPr>
                <w:rFonts w:asciiTheme="minorHAnsi" w:hAnsiTheme="minorHAnsi" w:cs="Calibri"/>
                <w:b/>
                <w:i/>
                <w:sz w:val="16"/>
                <w:szCs w:val="16"/>
                <w:lang w:val="el-GR"/>
              </w:rPr>
              <w:t>9.1 Η ύπαρξη και η εφαρμογή εθνικού στρατηγικού πλαισίου πολιτικής για τη μείωση της φτώχειας με στόχο την ενεργητική ένταξη των ατόμων που είναι αποκλεισμένα από την αγορά εργασίας, σύμφωνα με τις Κατευθυντήριες Γραμμές για την Απασχόληση</w:t>
            </w:r>
          </w:p>
        </w:tc>
        <w:tc>
          <w:tcPr>
            <w:tcW w:w="599" w:type="pct"/>
          </w:tcPr>
          <w:p w14:paraId="0DE09C2C"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1 - Να υφίσταται εθνικό πλαίσιο πολιτικής για τη για τη μείωση της φτώχειας, με στόχο την ενεργητική ένταξη, το οποίο:</w:t>
            </w:r>
          </w:p>
        </w:tc>
        <w:tc>
          <w:tcPr>
            <w:tcW w:w="1190" w:type="pct"/>
          </w:tcPr>
          <w:p w14:paraId="7CD3EA92" w14:textId="77777777" w:rsidR="005C0158" w:rsidRPr="00486EC5" w:rsidRDefault="005C0158" w:rsidP="004003A3">
            <w:pPr>
              <w:spacing w:before="120" w:after="0" w:line="240" w:lineRule="auto"/>
              <w:rPr>
                <w:rFonts w:asciiTheme="minorHAnsi" w:hAnsiTheme="minorHAnsi" w:cs="Calibri"/>
                <w:color w:val="000000"/>
                <w:sz w:val="16"/>
                <w:szCs w:val="16"/>
                <w:lang w:val="el-GR"/>
              </w:rPr>
            </w:pPr>
            <w:r w:rsidRPr="00486EC5">
              <w:rPr>
                <w:rFonts w:asciiTheme="minorHAnsi" w:hAnsiTheme="minorHAnsi" w:cs="Calibri"/>
                <w:color w:val="000000"/>
                <w:sz w:val="16"/>
                <w:szCs w:val="16"/>
                <w:lang w:val="el-GR"/>
              </w:rPr>
              <w:t xml:space="preserve">Ετοιμασία Στρατηγικής για την Κοινωνική Πολιτική 2014-2020  σε συνάφεια με τη δημοσίευση της Ανακοίνωσης της Επιτροπής, </w:t>
            </w:r>
            <w:r w:rsidRPr="00486EC5">
              <w:rPr>
                <w:rFonts w:asciiTheme="minorHAnsi" w:hAnsiTheme="minorHAnsi" w:cs="Calibri"/>
                <w:color w:val="000000"/>
                <w:sz w:val="16"/>
                <w:szCs w:val="16"/>
              </w:rPr>
              <w:t>COM</w:t>
            </w:r>
            <w:r w:rsidRPr="00486EC5">
              <w:rPr>
                <w:rFonts w:asciiTheme="minorHAnsi" w:hAnsiTheme="minorHAnsi" w:cs="Calibri"/>
                <w:color w:val="000000"/>
                <w:sz w:val="16"/>
                <w:szCs w:val="16"/>
                <w:lang w:val="el-GR"/>
              </w:rPr>
              <w:t xml:space="preserve"> (2013) 83 </w:t>
            </w:r>
            <w:r w:rsidRPr="00486EC5">
              <w:rPr>
                <w:rFonts w:asciiTheme="minorHAnsi" w:hAnsiTheme="minorHAnsi" w:cs="Calibri"/>
                <w:color w:val="000000"/>
                <w:sz w:val="16"/>
                <w:szCs w:val="16"/>
              </w:rPr>
              <w:t>Final</w:t>
            </w:r>
            <w:r w:rsidRPr="00486EC5">
              <w:rPr>
                <w:rFonts w:asciiTheme="minorHAnsi" w:hAnsiTheme="minorHAnsi" w:cs="Calibri"/>
                <w:color w:val="000000"/>
                <w:sz w:val="16"/>
                <w:szCs w:val="16"/>
                <w:lang w:val="el-GR"/>
              </w:rPr>
              <w:t xml:space="preserve"> “</w:t>
            </w:r>
            <w:r w:rsidRPr="00486EC5">
              <w:rPr>
                <w:rFonts w:asciiTheme="minorHAnsi" w:hAnsiTheme="minorHAnsi" w:cs="Calibri"/>
                <w:color w:val="000000"/>
                <w:sz w:val="16"/>
                <w:szCs w:val="16"/>
              </w:rPr>
              <w:t>Towards</w:t>
            </w:r>
            <w:r w:rsidRPr="00486EC5">
              <w:rPr>
                <w:rFonts w:asciiTheme="minorHAnsi" w:hAnsiTheme="minorHAnsi" w:cs="Calibri"/>
                <w:color w:val="000000"/>
                <w:sz w:val="16"/>
                <w:szCs w:val="16"/>
                <w:lang w:val="el-GR"/>
              </w:rPr>
              <w:t xml:space="preserve"> </w:t>
            </w:r>
            <w:r w:rsidRPr="00486EC5">
              <w:rPr>
                <w:rFonts w:asciiTheme="minorHAnsi" w:hAnsiTheme="minorHAnsi" w:cs="Calibri"/>
                <w:color w:val="000000"/>
                <w:sz w:val="16"/>
                <w:szCs w:val="16"/>
              </w:rPr>
              <w:t>Social</w:t>
            </w:r>
            <w:r w:rsidRPr="00486EC5">
              <w:rPr>
                <w:rFonts w:asciiTheme="minorHAnsi" w:hAnsiTheme="minorHAnsi" w:cs="Calibri"/>
                <w:color w:val="000000"/>
                <w:sz w:val="16"/>
                <w:szCs w:val="16"/>
                <w:lang w:val="el-GR"/>
              </w:rPr>
              <w:t xml:space="preserve"> </w:t>
            </w:r>
            <w:r w:rsidRPr="00486EC5">
              <w:rPr>
                <w:rFonts w:asciiTheme="minorHAnsi" w:hAnsiTheme="minorHAnsi" w:cs="Calibri"/>
                <w:color w:val="000000"/>
                <w:sz w:val="16"/>
                <w:szCs w:val="16"/>
              </w:rPr>
              <w:t>Investment</w:t>
            </w:r>
            <w:r w:rsidRPr="00486EC5">
              <w:rPr>
                <w:rFonts w:asciiTheme="minorHAnsi" w:hAnsiTheme="minorHAnsi" w:cs="Calibri"/>
                <w:color w:val="000000"/>
                <w:sz w:val="16"/>
                <w:szCs w:val="16"/>
                <w:lang w:val="el-GR"/>
              </w:rPr>
              <w:t xml:space="preserve"> </w:t>
            </w:r>
            <w:r w:rsidRPr="00486EC5">
              <w:rPr>
                <w:rFonts w:asciiTheme="minorHAnsi" w:hAnsiTheme="minorHAnsi" w:cs="Calibri"/>
                <w:color w:val="000000"/>
                <w:sz w:val="16"/>
                <w:szCs w:val="16"/>
              </w:rPr>
              <w:t>for</w:t>
            </w:r>
            <w:r w:rsidRPr="00486EC5">
              <w:rPr>
                <w:rFonts w:asciiTheme="minorHAnsi" w:hAnsiTheme="minorHAnsi" w:cs="Calibri"/>
                <w:color w:val="000000"/>
                <w:sz w:val="16"/>
                <w:szCs w:val="16"/>
                <w:lang w:val="el-GR"/>
              </w:rPr>
              <w:t xml:space="preserve"> </w:t>
            </w:r>
            <w:r w:rsidRPr="00486EC5">
              <w:rPr>
                <w:rFonts w:asciiTheme="minorHAnsi" w:hAnsiTheme="minorHAnsi" w:cs="Calibri"/>
                <w:color w:val="000000"/>
                <w:sz w:val="16"/>
                <w:szCs w:val="16"/>
              </w:rPr>
              <w:t>Growth</w:t>
            </w:r>
            <w:r w:rsidRPr="00486EC5">
              <w:rPr>
                <w:rFonts w:asciiTheme="minorHAnsi" w:hAnsiTheme="minorHAnsi" w:cs="Calibri"/>
                <w:color w:val="000000"/>
                <w:sz w:val="16"/>
                <w:szCs w:val="16"/>
                <w:lang w:val="el-GR"/>
              </w:rPr>
              <w:t xml:space="preserve"> </w:t>
            </w:r>
            <w:r w:rsidRPr="00486EC5">
              <w:rPr>
                <w:rFonts w:asciiTheme="minorHAnsi" w:hAnsiTheme="minorHAnsi" w:cs="Calibri"/>
                <w:color w:val="000000"/>
                <w:sz w:val="16"/>
                <w:szCs w:val="16"/>
              </w:rPr>
              <w:t>and</w:t>
            </w:r>
            <w:r w:rsidRPr="00486EC5">
              <w:rPr>
                <w:rFonts w:asciiTheme="minorHAnsi" w:hAnsiTheme="minorHAnsi" w:cs="Calibri"/>
                <w:color w:val="000000"/>
                <w:sz w:val="16"/>
                <w:szCs w:val="16"/>
                <w:lang w:val="el-GR"/>
              </w:rPr>
              <w:t xml:space="preserve"> </w:t>
            </w:r>
            <w:r w:rsidRPr="00486EC5">
              <w:rPr>
                <w:rFonts w:asciiTheme="minorHAnsi" w:hAnsiTheme="minorHAnsi" w:cs="Calibri"/>
                <w:color w:val="000000"/>
                <w:sz w:val="16"/>
                <w:szCs w:val="16"/>
              </w:rPr>
              <w:t>Cohesion</w:t>
            </w:r>
            <w:r w:rsidRPr="00486EC5">
              <w:rPr>
                <w:rFonts w:asciiTheme="minorHAnsi" w:hAnsiTheme="minorHAnsi" w:cs="Calibri"/>
                <w:color w:val="000000"/>
                <w:sz w:val="16"/>
                <w:szCs w:val="16"/>
                <w:lang w:val="el-GR"/>
              </w:rPr>
              <w:t xml:space="preserve">” </w:t>
            </w:r>
          </w:p>
        </w:tc>
        <w:tc>
          <w:tcPr>
            <w:tcW w:w="375" w:type="pct"/>
          </w:tcPr>
          <w:p w14:paraId="68DAD1C8" w14:textId="77777777" w:rsidR="005C0158" w:rsidRPr="00486EC5" w:rsidRDefault="005C0158" w:rsidP="004003A3">
            <w:pPr>
              <w:spacing w:before="120" w:after="0" w:line="240" w:lineRule="auto"/>
              <w:jc w:val="center"/>
              <w:rPr>
                <w:rFonts w:asciiTheme="minorHAnsi" w:hAnsiTheme="minorHAnsi" w:cs="Calibri"/>
                <w:sz w:val="16"/>
                <w:szCs w:val="16"/>
              </w:rPr>
            </w:pPr>
            <w:r w:rsidRPr="00486EC5">
              <w:rPr>
                <w:rFonts w:asciiTheme="minorHAnsi" w:hAnsiTheme="minorHAnsi" w:cs="Calibri"/>
                <w:color w:val="000000"/>
                <w:sz w:val="16"/>
                <w:szCs w:val="16"/>
              </w:rPr>
              <w:t>31/12/2014</w:t>
            </w:r>
          </w:p>
        </w:tc>
        <w:tc>
          <w:tcPr>
            <w:tcW w:w="423" w:type="pct"/>
            <w:vMerge w:val="restart"/>
          </w:tcPr>
          <w:p w14:paraId="2DAED17B"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hAnsiTheme="minorHAnsi" w:cs="Calibri"/>
                <w:sz w:val="16"/>
                <w:szCs w:val="16"/>
                <w:lang w:val="el-GR"/>
              </w:rPr>
              <w:t>Υπηρεσίες Κοινωνικής Ευημερίας, Υπουργείο Εργασίας, Πρόνοιας και Κοινωνικών Ασφαλίσεων</w:t>
            </w:r>
          </w:p>
        </w:tc>
        <w:tc>
          <w:tcPr>
            <w:tcW w:w="349" w:type="pct"/>
          </w:tcPr>
          <w:p w14:paraId="26A71DC6"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17" w:type="pct"/>
          </w:tcPr>
          <w:p w14:paraId="742DF058"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216A61BF"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26/11/2014</w:t>
            </w:r>
          </w:p>
        </w:tc>
        <w:tc>
          <w:tcPr>
            <w:tcW w:w="792" w:type="pct"/>
          </w:tcPr>
          <w:p w14:paraId="0934A6F2"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της Εθνικής Στρατηγικής για την Κοινωνική Πολιτική από το Υπουργικό Συμβούλιο στις 26/11/2014.</w:t>
            </w:r>
          </w:p>
          <w:p w14:paraId="43F53B20"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28/8/15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(2015)3552908).</w:t>
            </w:r>
          </w:p>
        </w:tc>
      </w:tr>
      <w:tr w:rsidR="005C0158" w:rsidRPr="00486EC5" w14:paraId="6B021521" w14:textId="77777777" w:rsidTr="004003A3">
        <w:trPr>
          <w:trHeight w:val="1325"/>
          <w:jc w:val="center"/>
        </w:trPr>
        <w:tc>
          <w:tcPr>
            <w:tcW w:w="597" w:type="pct"/>
            <w:vMerge/>
          </w:tcPr>
          <w:p w14:paraId="7B90315E"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tcPr>
          <w:p w14:paraId="65C2CAC6"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2 - παρέχει επαρκή στοιχεία για τη χάραξη πολιτικών με στόχο τη μείωση της φτώχειας και την παρακολούθηση των εξελίξεων,</w:t>
            </w:r>
          </w:p>
        </w:tc>
        <w:tc>
          <w:tcPr>
            <w:tcW w:w="1190" w:type="pct"/>
          </w:tcPr>
          <w:p w14:paraId="7CE9EFDC" w14:textId="77777777" w:rsidR="005C0158" w:rsidRPr="00486EC5" w:rsidRDefault="005C0158" w:rsidP="004003A3">
            <w:pPr>
              <w:spacing w:before="120" w:after="0" w:line="240" w:lineRule="auto"/>
              <w:rPr>
                <w:rFonts w:asciiTheme="minorHAnsi" w:hAnsiTheme="minorHAnsi" w:cs="Calibri"/>
                <w:color w:val="000000"/>
                <w:sz w:val="16"/>
                <w:szCs w:val="16"/>
                <w:lang w:val="el-GR"/>
              </w:rPr>
            </w:pPr>
            <w:r w:rsidRPr="00486EC5">
              <w:rPr>
                <w:rFonts w:asciiTheme="minorHAnsi" w:hAnsiTheme="minorHAnsi" w:cs="Calibri"/>
                <w:color w:val="000000"/>
                <w:sz w:val="16"/>
                <w:szCs w:val="16"/>
                <w:lang w:val="el-GR"/>
              </w:rPr>
              <w:t>Η νέα Εθνική Στρατηγική αναμένεται να έχει μια ολιστική προσέγγιση στην καταπολέμηση της φτώχειας και του κοινωνικού αποκλεισμού. Σημαντική παράμετρος της Στρατηγικής αποτελεί η ενεργός ενσωμάτωση η οποία αντικατοπτρίζει τους 3 πυλώνες της Σύστασης για την Ενεργό Ενσωμάτωση του 2008 (επαρκές εισόδημα, ενεργητικές πολιτικές απασχόλησης, και πρόσβαση σε υπηρεσίες).</w:t>
            </w:r>
          </w:p>
          <w:p w14:paraId="35A3B446" w14:textId="77777777" w:rsidR="005C0158" w:rsidRPr="00486EC5" w:rsidRDefault="005C0158" w:rsidP="004003A3">
            <w:pPr>
              <w:spacing w:before="120" w:after="0" w:line="240" w:lineRule="auto"/>
              <w:rPr>
                <w:rFonts w:asciiTheme="minorHAnsi" w:hAnsiTheme="minorHAnsi" w:cs="Calibri"/>
                <w:color w:val="000000"/>
                <w:sz w:val="16"/>
                <w:szCs w:val="16"/>
                <w:lang w:val="el-GR"/>
              </w:rPr>
            </w:pPr>
            <w:r w:rsidRPr="00486EC5">
              <w:rPr>
                <w:rFonts w:asciiTheme="minorHAnsi" w:hAnsiTheme="minorHAnsi" w:cs="Calibri"/>
                <w:color w:val="000000"/>
                <w:sz w:val="16"/>
                <w:szCs w:val="16"/>
                <w:lang w:val="el-GR"/>
              </w:rPr>
              <w:t xml:space="preserve">Προωθείται η σύσταση Επιτροπής Παρακολούθησης της υλοποίησης της Στρατηγικής η οποία θα αποτελείται από τα αρμόδια κυβερνητικά Τμήματα, τους κοινωνικούς εταίρους, τους εκπροσώπους των Αρχών Τοπικής Αυτοδιοίκησης και τις εμπλεκόμενες μη κυβερνητικές οργανώσεις. </w:t>
            </w:r>
          </w:p>
        </w:tc>
        <w:tc>
          <w:tcPr>
            <w:tcW w:w="375" w:type="pct"/>
          </w:tcPr>
          <w:p w14:paraId="6447A3E4" w14:textId="77777777" w:rsidR="005C0158" w:rsidRPr="00486EC5" w:rsidRDefault="005C0158" w:rsidP="004003A3">
            <w:pPr>
              <w:spacing w:before="120" w:after="0" w:line="240" w:lineRule="auto"/>
              <w:jc w:val="center"/>
              <w:rPr>
                <w:rFonts w:asciiTheme="minorHAnsi" w:hAnsiTheme="minorHAnsi" w:cs="Calibri"/>
                <w:sz w:val="16"/>
                <w:szCs w:val="16"/>
              </w:rPr>
            </w:pPr>
            <w:r w:rsidRPr="00486EC5">
              <w:rPr>
                <w:rFonts w:asciiTheme="minorHAnsi" w:hAnsiTheme="minorHAnsi" w:cs="Calibri"/>
                <w:color w:val="000000"/>
                <w:sz w:val="16"/>
                <w:szCs w:val="16"/>
              </w:rPr>
              <w:t>31/12/2014</w:t>
            </w:r>
          </w:p>
        </w:tc>
        <w:tc>
          <w:tcPr>
            <w:tcW w:w="423" w:type="pct"/>
            <w:vMerge/>
            <w:vAlign w:val="center"/>
          </w:tcPr>
          <w:p w14:paraId="2B674017"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tcPr>
          <w:p w14:paraId="3312792A"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17" w:type="pct"/>
          </w:tcPr>
          <w:p w14:paraId="66BF0CAF"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4A5679E7"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26/11/2014</w:t>
            </w:r>
          </w:p>
        </w:tc>
        <w:tc>
          <w:tcPr>
            <w:tcW w:w="792" w:type="pct"/>
          </w:tcPr>
          <w:p w14:paraId="728F7512"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της Εθνικής Στρατηγικής για την Κοινωνική Πολιτική από το Υπουργικό Συμβούλιο στις 26/11/2014.</w:t>
            </w:r>
          </w:p>
          <w:p w14:paraId="048B31CC"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28/8/15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(2015)3552908).</w:t>
            </w:r>
          </w:p>
        </w:tc>
      </w:tr>
      <w:tr w:rsidR="005C0158" w:rsidRPr="00486EC5" w14:paraId="02B891D2" w14:textId="77777777" w:rsidTr="004003A3">
        <w:trPr>
          <w:trHeight w:val="258"/>
          <w:jc w:val="center"/>
        </w:trPr>
        <w:tc>
          <w:tcPr>
            <w:tcW w:w="597" w:type="pct"/>
            <w:vMerge/>
          </w:tcPr>
          <w:p w14:paraId="49F191C4"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tcPr>
          <w:p w14:paraId="5371F2EE"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3 - περιέχει μέτρα που στηρίζουν την επίτευξη του εθνικού στόχου για την καταπολέμηση της φτώχειας και του κοινωνικού αποκλεισμού (όπως ορίζεται στο Εθνικό Πρόγραμμα Μεταρρυθμίσεων), ο οποίος περιλαμβάνει την προώθηση των ευκαιριών βιάσιμης και ποιοτικής απασχόλησης για άτομα που αντιμετωπίζουν τον υψηλότερο κίνδυνο κοινωνικού αποκλεισμού, καθώς και άτομα από περιθωριοποιημένες κοινότητες.</w:t>
            </w:r>
          </w:p>
        </w:tc>
        <w:tc>
          <w:tcPr>
            <w:tcW w:w="1190" w:type="pct"/>
          </w:tcPr>
          <w:p w14:paraId="55816F6C" w14:textId="77777777" w:rsidR="005C0158" w:rsidRPr="00486EC5" w:rsidRDefault="005C0158" w:rsidP="004003A3">
            <w:pPr>
              <w:spacing w:before="120" w:after="0" w:line="240" w:lineRule="auto"/>
              <w:rPr>
                <w:rFonts w:asciiTheme="minorHAnsi" w:hAnsiTheme="minorHAnsi" w:cs="Calibri"/>
                <w:color w:val="000000"/>
                <w:sz w:val="16"/>
                <w:szCs w:val="16"/>
                <w:lang w:val="el-GR"/>
              </w:rPr>
            </w:pPr>
            <w:r w:rsidRPr="00486EC5">
              <w:rPr>
                <w:rFonts w:asciiTheme="minorHAnsi" w:hAnsiTheme="minorHAnsi" w:cs="Calibri"/>
                <w:color w:val="000000"/>
                <w:sz w:val="16"/>
                <w:szCs w:val="16"/>
                <w:lang w:val="el-GR"/>
              </w:rPr>
              <w:t xml:space="preserve">Η νέα Εθνική Στρατηγική θα έχει ολιστική αντιμετώπιση στην επίτευξη του στόχου της φτώχειας και του κοινωνικού αποκλεισμού, συμπεριλαμβανομένων και ενεργητικών πολιτικών απασχόλησης. </w:t>
            </w:r>
          </w:p>
        </w:tc>
        <w:tc>
          <w:tcPr>
            <w:tcW w:w="375" w:type="pct"/>
          </w:tcPr>
          <w:p w14:paraId="619C6FB4" w14:textId="77777777" w:rsidR="005C0158" w:rsidRPr="00486EC5" w:rsidRDefault="005C0158" w:rsidP="004003A3">
            <w:pPr>
              <w:spacing w:before="120" w:after="0" w:line="240" w:lineRule="auto"/>
              <w:jc w:val="center"/>
              <w:rPr>
                <w:rFonts w:asciiTheme="minorHAnsi" w:hAnsiTheme="minorHAnsi" w:cs="Calibri"/>
                <w:sz w:val="16"/>
                <w:szCs w:val="16"/>
              </w:rPr>
            </w:pPr>
            <w:r w:rsidRPr="00486EC5">
              <w:rPr>
                <w:rFonts w:asciiTheme="minorHAnsi" w:hAnsiTheme="minorHAnsi" w:cs="Calibri"/>
                <w:color w:val="000000"/>
                <w:sz w:val="16"/>
                <w:szCs w:val="16"/>
              </w:rPr>
              <w:t>31/12/2014</w:t>
            </w:r>
          </w:p>
        </w:tc>
        <w:tc>
          <w:tcPr>
            <w:tcW w:w="423" w:type="pct"/>
            <w:vMerge/>
            <w:vAlign w:val="center"/>
          </w:tcPr>
          <w:p w14:paraId="497634B1"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tcPr>
          <w:p w14:paraId="56D03E25"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17" w:type="pct"/>
          </w:tcPr>
          <w:p w14:paraId="0DECF51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568389E3"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26/11/2014</w:t>
            </w:r>
          </w:p>
        </w:tc>
        <w:tc>
          <w:tcPr>
            <w:tcW w:w="792" w:type="pct"/>
          </w:tcPr>
          <w:p w14:paraId="0F4DA016"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της Εθνικής Στρατηγικής για την Κοινωνική Πολιτική από το Υπουργικό Συμβούλιο στις 26/11/2014.</w:t>
            </w:r>
          </w:p>
          <w:p w14:paraId="30031E92"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28/8/15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(2015)3552908).</w:t>
            </w:r>
          </w:p>
        </w:tc>
      </w:tr>
      <w:tr w:rsidR="005C0158" w:rsidRPr="00486EC5" w14:paraId="764C17D4" w14:textId="77777777" w:rsidTr="004003A3">
        <w:trPr>
          <w:trHeight w:val="416"/>
          <w:jc w:val="center"/>
        </w:trPr>
        <w:tc>
          <w:tcPr>
            <w:tcW w:w="597" w:type="pct"/>
            <w:vMerge/>
          </w:tcPr>
          <w:p w14:paraId="7DBEE367"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tcPr>
          <w:p w14:paraId="1F26D684"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4 - εμπλέκει τους σχετικούς φορείς στην καταπολέμηση της φτώχειας </w:t>
            </w:r>
          </w:p>
        </w:tc>
        <w:tc>
          <w:tcPr>
            <w:tcW w:w="1190" w:type="pct"/>
          </w:tcPr>
          <w:p w14:paraId="30004651" w14:textId="77777777" w:rsidR="005C0158" w:rsidRPr="00486EC5" w:rsidRDefault="005C0158" w:rsidP="004003A3">
            <w:pPr>
              <w:spacing w:before="120" w:after="0" w:line="240" w:lineRule="auto"/>
              <w:rPr>
                <w:rFonts w:asciiTheme="minorHAnsi" w:hAnsiTheme="minorHAnsi" w:cs="Calibri"/>
                <w:color w:val="000000"/>
                <w:sz w:val="16"/>
                <w:szCs w:val="16"/>
                <w:lang w:val="el-GR"/>
              </w:rPr>
            </w:pPr>
            <w:r w:rsidRPr="00486EC5">
              <w:rPr>
                <w:rFonts w:asciiTheme="minorHAnsi" w:hAnsiTheme="minorHAnsi" w:cs="Calibri"/>
                <w:color w:val="000000"/>
                <w:sz w:val="16"/>
                <w:szCs w:val="16"/>
                <w:lang w:val="el-GR"/>
              </w:rPr>
              <w:t xml:space="preserve">Στον καταρτισμό της Στρατηγικής Κοινωνικής Πολιτικής  έχουν κληθεί να συμβάλουν όλοι οι εμπλεκόμενοι φορείς τόσο κατά το στάδιο της ετοιμασίας της στρατηγικής όσο και κατά την υλοποίηση συγκεκριμένων δράσεων. </w:t>
            </w:r>
          </w:p>
        </w:tc>
        <w:tc>
          <w:tcPr>
            <w:tcW w:w="375" w:type="pct"/>
          </w:tcPr>
          <w:p w14:paraId="15966C64" w14:textId="77777777" w:rsidR="005C0158" w:rsidRPr="00486EC5" w:rsidRDefault="005C0158" w:rsidP="004003A3">
            <w:pPr>
              <w:spacing w:before="120" w:after="0" w:line="240" w:lineRule="auto"/>
              <w:jc w:val="center"/>
              <w:rPr>
                <w:rFonts w:asciiTheme="minorHAnsi" w:hAnsiTheme="minorHAnsi" w:cs="Calibri"/>
                <w:sz w:val="16"/>
                <w:szCs w:val="16"/>
              </w:rPr>
            </w:pPr>
            <w:r w:rsidRPr="00486EC5">
              <w:rPr>
                <w:rFonts w:asciiTheme="minorHAnsi" w:hAnsiTheme="minorHAnsi" w:cs="Calibri"/>
                <w:color w:val="000000"/>
                <w:sz w:val="16"/>
                <w:szCs w:val="16"/>
              </w:rPr>
              <w:t>31/12/2014</w:t>
            </w:r>
          </w:p>
        </w:tc>
        <w:tc>
          <w:tcPr>
            <w:tcW w:w="423" w:type="pct"/>
            <w:vMerge/>
            <w:vAlign w:val="center"/>
          </w:tcPr>
          <w:p w14:paraId="46C8FF6F"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tcPr>
          <w:p w14:paraId="27FC2DA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17" w:type="pct"/>
          </w:tcPr>
          <w:p w14:paraId="106F26F9"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1336DBC0"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26/11/2014</w:t>
            </w:r>
          </w:p>
        </w:tc>
        <w:tc>
          <w:tcPr>
            <w:tcW w:w="792" w:type="pct"/>
          </w:tcPr>
          <w:p w14:paraId="3A991E8E"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Το κριτήριο εκπληρώθηκε με την έγκριση της Εθνικής Στρατηγικής για την Κοινωνική Πολιτική από το Υπουργικό Συμβούλιο στις 26/11/2014.</w:t>
            </w:r>
          </w:p>
          <w:p w14:paraId="1F360435"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28/8/15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(2015)3552908).</w:t>
            </w:r>
          </w:p>
        </w:tc>
      </w:tr>
      <w:tr w:rsidR="005C0158" w:rsidRPr="00486EC5" w14:paraId="1E1F6086" w14:textId="77777777" w:rsidTr="004003A3">
        <w:trPr>
          <w:trHeight w:val="726"/>
          <w:jc w:val="center"/>
        </w:trPr>
        <w:tc>
          <w:tcPr>
            <w:tcW w:w="597" w:type="pct"/>
            <w:vMerge/>
          </w:tcPr>
          <w:p w14:paraId="603B1128"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tcPr>
          <w:p w14:paraId="550E1029" w14:textId="77777777" w:rsidR="005C0158" w:rsidRPr="00486EC5" w:rsidRDefault="005C0158" w:rsidP="004003A3">
            <w:pPr>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5 - ανάλογα με τις εντοπιζόμενες ανάγκες, </w:t>
            </w:r>
            <w:r w:rsidRPr="00486EC5">
              <w:rPr>
                <w:rFonts w:asciiTheme="minorHAnsi" w:hAnsiTheme="minorHAnsi" w:cs="Calibri"/>
                <w:sz w:val="16"/>
                <w:szCs w:val="16"/>
                <w:lang w:val="el-GR"/>
              </w:rPr>
              <w:lastRenderedPageBreak/>
              <w:t>περιλαμβάνει μέτρα για τη μετάβαση από την ιδρυματική φροντίδα στη φροντίδα της κοινότητας</w:t>
            </w:r>
          </w:p>
        </w:tc>
        <w:tc>
          <w:tcPr>
            <w:tcW w:w="1190" w:type="pct"/>
          </w:tcPr>
          <w:p w14:paraId="178ECC90" w14:textId="77777777" w:rsidR="005C0158" w:rsidRPr="00486EC5" w:rsidRDefault="005C0158" w:rsidP="004003A3">
            <w:pPr>
              <w:spacing w:before="120" w:after="0" w:line="240" w:lineRule="auto"/>
              <w:rPr>
                <w:rFonts w:asciiTheme="minorHAnsi" w:hAnsiTheme="minorHAnsi" w:cs="Calibri"/>
                <w:color w:val="000000"/>
                <w:sz w:val="16"/>
                <w:szCs w:val="16"/>
                <w:lang w:val="el-GR"/>
              </w:rPr>
            </w:pPr>
            <w:r w:rsidRPr="00486EC5">
              <w:rPr>
                <w:rFonts w:asciiTheme="minorHAnsi" w:hAnsiTheme="minorHAnsi" w:cs="Calibri"/>
                <w:color w:val="000000"/>
                <w:sz w:val="16"/>
                <w:szCs w:val="16"/>
                <w:lang w:val="el-GR"/>
              </w:rPr>
              <w:lastRenderedPageBreak/>
              <w:t xml:space="preserve">Η νέα στρατηγική θα περιλαμβάνει ενότητα για τη μακροχρόνια φροντίδα και για σχετικά μέτρα </w:t>
            </w:r>
            <w:r w:rsidRPr="00486EC5">
              <w:rPr>
                <w:rFonts w:asciiTheme="minorHAnsi" w:hAnsiTheme="minorHAnsi" w:cs="Calibri"/>
                <w:color w:val="000000"/>
                <w:sz w:val="16"/>
                <w:szCs w:val="16"/>
                <w:lang w:val="el-GR"/>
              </w:rPr>
              <w:lastRenderedPageBreak/>
              <w:t>που θα απορρέουν από τις ανάγκες της Κύπρου.</w:t>
            </w:r>
          </w:p>
        </w:tc>
        <w:tc>
          <w:tcPr>
            <w:tcW w:w="375" w:type="pct"/>
          </w:tcPr>
          <w:p w14:paraId="5C4A77B8" w14:textId="77777777" w:rsidR="005C0158" w:rsidRPr="00486EC5" w:rsidRDefault="005C0158" w:rsidP="004003A3">
            <w:pPr>
              <w:spacing w:before="120" w:after="0" w:line="240" w:lineRule="auto"/>
              <w:jc w:val="center"/>
              <w:rPr>
                <w:rFonts w:asciiTheme="minorHAnsi" w:hAnsiTheme="minorHAnsi" w:cs="Calibri"/>
                <w:sz w:val="16"/>
                <w:szCs w:val="16"/>
              </w:rPr>
            </w:pPr>
            <w:r w:rsidRPr="00486EC5">
              <w:rPr>
                <w:rFonts w:asciiTheme="minorHAnsi" w:hAnsiTheme="minorHAnsi" w:cs="Calibri"/>
                <w:color w:val="000000"/>
                <w:sz w:val="16"/>
                <w:szCs w:val="16"/>
              </w:rPr>
              <w:lastRenderedPageBreak/>
              <w:t>31/12/2014</w:t>
            </w:r>
          </w:p>
        </w:tc>
        <w:tc>
          <w:tcPr>
            <w:tcW w:w="423" w:type="pct"/>
            <w:vMerge/>
            <w:vAlign w:val="center"/>
          </w:tcPr>
          <w:p w14:paraId="2FDFABA8"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p>
        </w:tc>
        <w:tc>
          <w:tcPr>
            <w:tcW w:w="349" w:type="pct"/>
          </w:tcPr>
          <w:p w14:paraId="32C90F65"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17" w:type="pct"/>
          </w:tcPr>
          <w:p w14:paraId="6660547B"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ΝΑΙ</w:t>
            </w:r>
          </w:p>
        </w:tc>
        <w:tc>
          <w:tcPr>
            <w:tcW w:w="358" w:type="pct"/>
          </w:tcPr>
          <w:p w14:paraId="1895D4C4" w14:textId="77777777" w:rsidR="005C0158" w:rsidRPr="00486EC5" w:rsidRDefault="005C0158" w:rsidP="004003A3">
            <w:pPr>
              <w:snapToGrid w:val="0"/>
              <w:spacing w:before="120" w:after="0" w:line="240" w:lineRule="auto"/>
              <w:jc w:val="center"/>
              <w:rPr>
                <w:rFonts w:asciiTheme="minorHAnsi" w:hAnsiTheme="minorHAnsi" w:cs="Calibri"/>
                <w:sz w:val="16"/>
                <w:szCs w:val="16"/>
              </w:rPr>
            </w:pPr>
            <w:r w:rsidRPr="00486EC5">
              <w:rPr>
                <w:rFonts w:asciiTheme="minorHAnsi" w:hAnsiTheme="minorHAnsi" w:cs="Calibri"/>
                <w:sz w:val="16"/>
                <w:szCs w:val="16"/>
              </w:rPr>
              <w:t>26/11/2014</w:t>
            </w:r>
          </w:p>
        </w:tc>
        <w:tc>
          <w:tcPr>
            <w:tcW w:w="792" w:type="pct"/>
          </w:tcPr>
          <w:p w14:paraId="47103420"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 xml:space="preserve">Το κριτήριο εκπληρώθηκε με την έγκριση της Εθνικής Στρατηγικής για την </w:t>
            </w:r>
            <w:r w:rsidRPr="00486EC5">
              <w:rPr>
                <w:rFonts w:asciiTheme="minorHAnsi" w:hAnsiTheme="minorHAnsi" w:cs="Calibri"/>
                <w:sz w:val="16"/>
                <w:szCs w:val="16"/>
                <w:lang w:val="el-GR"/>
              </w:rPr>
              <w:lastRenderedPageBreak/>
              <w:t>Κοινωνική Πολιτική από το Υπουργικό Συμβούλιο στις 26/11/2014.</w:t>
            </w:r>
          </w:p>
          <w:p w14:paraId="53AC900F" w14:textId="77777777" w:rsidR="005C0158" w:rsidRPr="00486EC5" w:rsidRDefault="005C0158" w:rsidP="004003A3">
            <w:pPr>
              <w:snapToGrid w:val="0"/>
              <w:spacing w:before="120" w:after="0" w:line="240" w:lineRule="auto"/>
              <w:rPr>
                <w:rFonts w:asciiTheme="minorHAnsi" w:hAnsiTheme="minorHAnsi" w:cs="Calibri"/>
                <w:sz w:val="16"/>
                <w:szCs w:val="16"/>
                <w:lang w:val="el-GR"/>
              </w:rPr>
            </w:pPr>
            <w:r w:rsidRPr="00486EC5">
              <w:rPr>
                <w:rFonts w:asciiTheme="minorHAnsi" w:hAnsiTheme="minorHAnsi" w:cs="Calibri"/>
                <w:sz w:val="16"/>
                <w:szCs w:val="16"/>
                <w:lang w:val="el-GR"/>
              </w:rPr>
              <w:t>Η εκπλήρωση επιβεβαιώθηκε από την Ευρωπαϊκή Επιτροπή στις 28/8/15 (</w:t>
            </w:r>
            <w:r w:rsidRPr="00486EC5">
              <w:rPr>
                <w:rFonts w:asciiTheme="minorHAnsi" w:hAnsiTheme="minorHAnsi" w:cs="Helvetica"/>
                <w:sz w:val="16"/>
                <w:szCs w:val="16"/>
                <w:lang w:val="en-GB"/>
              </w:rPr>
              <w:t>Ares</w:t>
            </w:r>
            <w:r w:rsidRPr="00486EC5">
              <w:rPr>
                <w:rFonts w:asciiTheme="minorHAnsi" w:hAnsiTheme="minorHAnsi" w:cs="Helvetica"/>
                <w:sz w:val="16"/>
                <w:szCs w:val="16"/>
                <w:lang w:val="el-GR"/>
              </w:rPr>
              <w:t>(2015)3552908).</w:t>
            </w:r>
          </w:p>
        </w:tc>
      </w:tr>
      <w:tr w:rsidR="005C0158" w:rsidRPr="00486EC5" w14:paraId="0FB9C013" w14:textId="77777777" w:rsidTr="004003A3">
        <w:trPr>
          <w:trHeight w:val="726"/>
          <w:jc w:val="center"/>
        </w:trPr>
        <w:tc>
          <w:tcPr>
            <w:tcW w:w="597" w:type="pct"/>
          </w:tcPr>
          <w:p w14:paraId="34C6BCB0"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b/>
                <w:i/>
                <w:sz w:val="16"/>
                <w:szCs w:val="16"/>
                <w:lang w:val="el-GR"/>
              </w:rPr>
            </w:pPr>
            <w:r w:rsidRPr="00486EC5">
              <w:rPr>
                <w:rFonts w:asciiTheme="minorHAnsi" w:eastAsiaTheme="minorHAnsi" w:hAnsiTheme="minorHAnsi" w:cs="Arial"/>
                <w:b/>
                <w:i/>
                <w:sz w:val="16"/>
                <w:szCs w:val="16"/>
                <w:lang w:val="el-GR"/>
              </w:rPr>
              <w:t>10.4 Η ύπαρξη εθνικού ή Περιφερειακού στρατηγικού πλαισίου πολιτικής για την αύξηση της ποιότητας και της αποτελεσματικότητας των συστημάτων επαγγελματικής εκπαίδευσης και κατάρτισης.</w:t>
            </w:r>
          </w:p>
        </w:tc>
        <w:tc>
          <w:tcPr>
            <w:tcW w:w="599" w:type="pct"/>
          </w:tcPr>
          <w:p w14:paraId="474174C5"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1. Να υφίσταται ένα εθνικό ή περιφερειακό στρατηγικό πλαίσιο πολιτικής για την αύξηση της ποιότητας και της αποτελεσματικότητας των συστημάτων επαγγελματικής εκπαίδευσης και κατάρτισης (ΕΕΚ), εντός των ορίων του άρθρου 165 ΣΛΕΕ, που περιλαμβάνει μέτρα:</w:t>
            </w:r>
          </w:p>
        </w:tc>
        <w:tc>
          <w:tcPr>
            <w:tcW w:w="1190" w:type="pct"/>
          </w:tcPr>
          <w:p w14:paraId="35297253"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Το Εθνικό Πλαίσιο Πολιτικής για την Τεχνική και Επαγγελματική Εκπαίδευση αναμένεται να τεθεί σε εφαρμογή το 2015:</w:t>
            </w:r>
          </w:p>
          <w:p w14:paraId="12139BF1"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-Ολοκλήρωση προκαταρκτικού Στρατηγικού Σχεδιασμού (20/11/14)</w:t>
            </w:r>
          </w:p>
          <w:p w14:paraId="15523276"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Λαμβάνονται υπόψη: • Τα δυνατά και αδύνατα σημεία και οι προκλήσεις της ΜΤΕΕ με βάση τα δεδομένα στην Κύπρο σήμερα • Το σχέδιο διακυβέρνησης • Οι συστάσεις του Brugge Communique • Ο ρόλος του ΥΠΠ στο υφιστάμενο Σύστημα Μαθητείας • Οι θέσεις της συνδικαλιστικής οργάνωσης ΟΛΤΕΚ • Συστάσεις ΕΕ</w:t>
            </w:r>
          </w:p>
          <w:p w14:paraId="0D669E67"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Επόμενα Βήματα:</w:t>
            </w:r>
          </w:p>
          <w:p w14:paraId="34D79E79"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 xml:space="preserve">- Πρώτη συνάντηση διαβούλευσης με το ΥΕΠΚΑ με θέμα τη Μαθητεία (Νοε. 14) </w:t>
            </w:r>
          </w:p>
          <w:p w14:paraId="4EE7659E"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 Συζήτηση εντός ΥΠΠ μεταξύ των εμπλεκομένων και τελική έγκριση από τον Υπουργό (Δεκ.14)</w:t>
            </w:r>
          </w:p>
          <w:p w14:paraId="1E323A30"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 Συζήτηση με τη συνδικαλιστική οργάνωση ΟΛΤΕΚ (Δεκ-Ιαν 15)</w:t>
            </w:r>
          </w:p>
          <w:p w14:paraId="07EF0A79"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 Ενημέρωση των εργοδοτικών συνδέσμων και δήλωση υποστήριξης προς τις πτυχές του σχεδιασμού, όπου εμπλέκονται (Δεκ-Ιαν 15)</w:t>
            </w:r>
          </w:p>
          <w:p w14:paraId="78717EEC"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 Δεύτερη συνάντηση διαβούλευσης με το ΥΕΠΚΑ με θέμα τη Μαθητεία (Δεκ-Ιαν 15)</w:t>
            </w:r>
          </w:p>
          <w:p w14:paraId="351F2211"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lastRenderedPageBreak/>
              <w:t>- Προώθηση στο Υπουργικό Συμβούλιο (Ιαν-Φεβ 15)</w:t>
            </w:r>
          </w:p>
          <w:p w14:paraId="066AA33F"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 Έγκριση Στρατηγικού Σχεδιασμού (Φεβ-Μαρ 15)</w:t>
            </w:r>
          </w:p>
        </w:tc>
        <w:tc>
          <w:tcPr>
            <w:tcW w:w="375" w:type="pct"/>
          </w:tcPr>
          <w:p w14:paraId="44055CC9" w14:textId="77777777" w:rsidR="005C0158" w:rsidRPr="00486EC5" w:rsidRDefault="005C0158" w:rsidP="004003A3">
            <w:pPr>
              <w:autoSpaceDE w:val="0"/>
              <w:autoSpaceDN w:val="0"/>
              <w:adjustRightInd w:val="0"/>
              <w:spacing w:before="120" w:after="0" w:line="240" w:lineRule="auto"/>
              <w:jc w:val="center"/>
              <w:rPr>
                <w:rFonts w:asciiTheme="minorHAnsi" w:hAnsiTheme="minorHAnsi" w:cs="Calibri"/>
                <w:color w:val="000000"/>
                <w:sz w:val="16"/>
                <w:szCs w:val="16"/>
                <w:lang w:val="el-GR"/>
              </w:rPr>
            </w:pPr>
            <w:r w:rsidRPr="00486EC5">
              <w:rPr>
                <w:rFonts w:asciiTheme="minorHAnsi" w:eastAsiaTheme="minorHAnsi" w:hAnsiTheme="minorHAnsi" w:cs="Arial"/>
                <w:sz w:val="16"/>
                <w:szCs w:val="16"/>
                <w:lang w:val="el-GR"/>
              </w:rPr>
              <w:lastRenderedPageBreak/>
              <w:t>31/03/2015</w:t>
            </w:r>
          </w:p>
        </w:tc>
        <w:tc>
          <w:tcPr>
            <w:tcW w:w="423" w:type="pct"/>
          </w:tcPr>
          <w:p w14:paraId="1CC56E01" w14:textId="77777777" w:rsidR="005C0158" w:rsidRPr="00486EC5" w:rsidRDefault="005C0158" w:rsidP="004003A3">
            <w:pPr>
              <w:autoSpaceDE w:val="0"/>
              <w:autoSpaceDN w:val="0"/>
              <w:adjustRightInd w:val="0"/>
              <w:spacing w:before="120" w:after="0" w:line="240" w:lineRule="auto"/>
              <w:jc w:val="center"/>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Υπουργείο Παιδείας και Πολιτισμού</w:t>
            </w:r>
          </w:p>
        </w:tc>
        <w:tc>
          <w:tcPr>
            <w:tcW w:w="349" w:type="pct"/>
          </w:tcPr>
          <w:p w14:paraId="5D19CDD1"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eastAsiaTheme="minorHAnsi" w:hAnsiTheme="minorHAnsi" w:cs="Arial"/>
                <w:sz w:val="16"/>
                <w:szCs w:val="16"/>
                <w:lang w:val="el-GR"/>
              </w:rPr>
              <w:t>ΝΑΙ</w:t>
            </w:r>
          </w:p>
        </w:tc>
        <w:tc>
          <w:tcPr>
            <w:tcW w:w="317" w:type="pct"/>
          </w:tcPr>
          <w:p w14:paraId="41F9A045"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eastAsiaTheme="minorHAnsi" w:hAnsiTheme="minorHAnsi" w:cs="Arial"/>
                <w:sz w:val="16"/>
                <w:szCs w:val="16"/>
                <w:lang w:val="el-GR"/>
              </w:rPr>
              <w:t>ΝΑΙ</w:t>
            </w:r>
          </w:p>
        </w:tc>
        <w:tc>
          <w:tcPr>
            <w:tcW w:w="358" w:type="pct"/>
          </w:tcPr>
          <w:p w14:paraId="20864CA3"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p>
        </w:tc>
        <w:tc>
          <w:tcPr>
            <w:tcW w:w="792" w:type="pct"/>
          </w:tcPr>
          <w:p w14:paraId="5B36CD53"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Ο Στρατηγικός Σχεδιασμός για το Σύστημα Τεχνικής και Επαγγελματικής Εκπαίδευσης και Κατάρτισης στην Κύπρο εγκρίθηκε από το Υπουργικό Συμβούλιο στις 15/42015.</w:t>
            </w:r>
          </w:p>
          <w:p w14:paraId="606FC743"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Ο στρατηγικός Σχεδιασμός καλύπτει τη Μέση Τεχνική και Επαγγελματική Εκπαίδευση και Κατάρτιση, το Σύστημα Μαθητείας, τα Απογευματινά και Βραδινά Μαθήματα (προγράμματα μη τυπικής εκπαίδευσης που απευθύνονται σε ενήλικες), τις Εσπερινές Τεχνικές Σχολές, και τα Μεταλυκειακά Ινστιτούτα Επαγγελματικής Εκπαίδευσης και Κατάρτισης.</w:t>
            </w:r>
          </w:p>
          <w:p w14:paraId="3B3C3493"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Η περιγραφή της εκπλήρωσης των κριτηρίων της Γενικής εκ των προτέρων αιρεσιμότητας υποβλήθηκε από τη Διαχειριστική Αρχή προς την Ευρωπαϊκή Επιτροπή στις 29/6/2015, η οποία τα ενέκρινε στις 28/8/2015.</w:t>
            </w:r>
          </w:p>
        </w:tc>
      </w:tr>
      <w:tr w:rsidR="005C0158" w:rsidRPr="00486EC5" w14:paraId="2FEA44B2" w14:textId="77777777" w:rsidTr="004003A3">
        <w:trPr>
          <w:trHeight w:val="726"/>
          <w:jc w:val="center"/>
        </w:trPr>
        <w:tc>
          <w:tcPr>
            <w:tcW w:w="597" w:type="pct"/>
          </w:tcPr>
          <w:p w14:paraId="640A561E"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tcPr>
          <w:p w14:paraId="7B96A618"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2. για τη βελτίωση της συνάφειας των συστημάτων ΕΕΚ με την αγορά εργασίας,</w:t>
            </w:r>
          </w:p>
        </w:tc>
        <w:tc>
          <w:tcPr>
            <w:tcW w:w="1190" w:type="pct"/>
          </w:tcPr>
          <w:p w14:paraId="5D6EE7D2"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Θεσμοθέτηση Συμβουλευτικού Σώματος Τεχνικής και Επαγγελματικής Εκπαίδευσης για: εισαγωγή νέων προγραμμάτων σπουδών στη ΜΤΕΕ, επίπεδα και περιεχόμενο των προγραμμάτων σπουδών, επαγγελματική αποκατάσταση και ανέλιξη των αποφοίτων των Τεχνικών Σχολών.</w:t>
            </w:r>
          </w:p>
          <w:p w14:paraId="02C03BEF"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Σύσταση Συμβουλευτικών Επιτροπών για τους διάφορους Κλάδους και Ειδικότητες και συνεργασία με τον κόσμο της εργασίας και άλλους φορείς.</w:t>
            </w:r>
          </w:p>
          <w:p w14:paraId="23C7EEBB"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Εισαγωγή νέων Προγραμμάτων Σπουδών και νέων κλάδων και ειδικοτήτων.</w:t>
            </w:r>
          </w:p>
          <w:p w14:paraId="481E4A89"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Ανάπτυξη του περιεχομένου Προγραμμάτων Σπουδών.</w:t>
            </w:r>
          </w:p>
          <w:p w14:paraId="4D1E4901"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Ενημέρωση εκπαιδευτών και επιμόρφωσή τους σε νέες βιομηχανικές μεθόδους και διαδικασίες.</w:t>
            </w:r>
          </w:p>
          <w:p w14:paraId="1DE38009"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Διοργάνωση συνεταιριστικών προγραμμάτων.</w:t>
            </w:r>
          </w:p>
          <w:p w14:paraId="3BB3967D"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Πρακτική άσκηση των τελειόφοιτων.</w:t>
            </w:r>
          </w:p>
          <w:p w14:paraId="73A0FC3E"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Οργάνωση εθνικού συστήματος παρακολούθησης της πρόσβασης των αποφοίτων της ΤΕΕ στην αγορά εργασίας.</w:t>
            </w:r>
          </w:p>
          <w:p w14:paraId="01F9D7A1" w14:textId="77777777" w:rsidR="005C0158" w:rsidRPr="00486EC5" w:rsidRDefault="005C0158" w:rsidP="004003A3">
            <w:pPr>
              <w:autoSpaceDE w:val="0"/>
              <w:autoSpaceDN w:val="0"/>
              <w:adjustRightInd w:val="0"/>
              <w:spacing w:before="120" w:after="0" w:line="240" w:lineRule="auto"/>
              <w:rPr>
                <w:rFonts w:asciiTheme="minorHAnsi" w:hAnsiTheme="minorHAnsi" w:cs="Calibri"/>
                <w:color w:val="000000"/>
                <w:sz w:val="16"/>
                <w:szCs w:val="16"/>
                <w:lang w:val="el-GR"/>
              </w:rPr>
            </w:pPr>
            <w:r w:rsidRPr="00486EC5">
              <w:rPr>
                <w:rFonts w:asciiTheme="minorHAnsi" w:eastAsiaTheme="minorHAnsi" w:hAnsiTheme="minorHAnsi" w:cs="Arial"/>
                <w:sz w:val="16"/>
                <w:szCs w:val="16"/>
                <w:lang w:val="el-GR"/>
              </w:rPr>
              <w:t>Δημιουργία μηχανισμού ανατροφοδότησης από τη Διεύθυνση ΜΤΕΕ του ΥΠΠ σχετικά με τη μετάβαση των αποφοίτων της ΤΕΕ και Κατάρτισης στην αγορά εργασίας ή σε περαιτέρω σπουδές.</w:t>
            </w:r>
          </w:p>
        </w:tc>
        <w:tc>
          <w:tcPr>
            <w:tcW w:w="375" w:type="pct"/>
          </w:tcPr>
          <w:p w14:paraId="68D1EDC3" w14:textId="77777777" w:rsidR="005C0158" w:rsidRPr="00486EC5" w:rsidRDefault="005C0158" w:rsidP="004003A3">
            <w:pPr>
              <w:autoSpaceDE w:val="0"/>
              <w:autoSpaceDN w:val="0"/>
              <w:adjustRightInd w:val="0"/>
              <w:spacing w:before="120" w:after="0" w:line="240" w:lineRule="auto"/>
              <w:jc w:val="center"/>
              <w:rPr>
                <w:rFonts w:asciiTheme="minorHAnsi" w:hAnsiTheme="minorHAnsi" w:cs="Calibri"/>
                <w:color w:val="000000"/>
                <w:sz w:val="16"/>
                <w:szCs w:val="16"/>
                <w:lang w:val="el-GR"/>
              </w:rPr>
            </w:pPr>
            <w:r w:rsidRPr="00486EC5">
              <w:rPr>
                <w:rFonts w:asciiTheme="minorHAnsi" w:eastAsiaTheme="minorHAnsi" w:hAnsiTheme="minorHAnsi" w:cs="Arial"/>
                <w:sz w:val="16"/>
                <w:szCs w:val="16"/>
                <w:lang w:val="el-GR"/>
              </w:rPr>
              <w:t>31/03/2015</w:t>
            </w:r>
          </w:p>
        </w:tc>
        <w:tc>
          <w:tcPr>
            <w:tcW w:w="423" w:type="pct"/>
          </w:tcPr>
          <w:p w14:paraId="589B4D79" w14:textId="77777777" w:rsidR="005C0158" w:rsidRPr="00486EC5" w:rsidRDefault="005C0158" w:rsidP="004003A3">
            <w:pPr>
              <w:autoSpaceDE w:val="0"/>
              <w:autoSpaceDN w:val="0"/>
              <w:adjustRightInd w:val="0"/>
              <w:spacing w:before="120" w:after="0" w:line="240" w:lineRule="auto"/>
              <w:jc w:val="center"/>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Υπουργείο Παιδείας και Πολιτισμού</w:t>
            </w:r>
          </w:p>
        </w:tc>
        <w:tc>
          <w:tcPr>
            <w:tcW w:w="349" w:type="pct"/>
          </w:tcPr>
          <w:p w14:paraId="58F8008F"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eastAsiaTheme="minorHAnsi" w:hAnsiTheme="minorHAnsi" w:cs="Arial"/>
                <w:sz w:val="16"/>
                <w:szCs w:val="16"/>
                <w:lang w:val="el-GR"/>
              </w:rPr>
              <w:t>ΝΑΙ</w:t>
            </w:r>
          </w:p>
        </w:tc>
        <w:tc>
          <w:tcPr>
            <w:tcW w:w="317" w:type="pct"/>
          </w:tcPr>
          <w:p w14:paraId="3D3A537A"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eastAsiaTheme="minorHAnsi" w:hAnsiTheme="minorHAnsi" w:cs="Arial"/>
                <w:sz w:val="16"/>
                <w:szCs w:val="16"/>
                <w:lang w:val="el-GR"/>
              </w:rPr>
              <w:t>ΝΑΙ</w:t>
            </w:r>
          </w:p>
        </w:tc>
        <w:tc>
          <w:tcPr>
            <w:tcW w:w="358" w:type="pct"/>
          </w:tcPr>
          <w:p w14:paraId="01A14DE2"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p>
        </w:tc>
        <w:tc>
          <w:tcPr>
            <w:tcW w:w="792" w:type="pct"/>
          </w:tcPr>
          <w:p w14:paraId="2435936C"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Θεσμοθέτηση Συμβουλευτικού Σώματος Τεχνικής και Επαγγελματικής Εκπαίδευσης και Κατάρτισης, για μελέτη θεμάτων που αφορούν την εισαγωγή των νέων προγραμμάτων σπουδών στη ΜΤΕΕ και την επαγγελματική αποκατάσταση και ανέλιξη των αποφοίτων των Τεχνικών Σχολών.</w:t>
            </w:r>
          </w:p>
          <w:p w14:paraId="3665522E"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Το Συμβουλευτικό Σώμα αποτελείται από εκπροσώπους:</w:t>
            </w:r>
          </w:p>
          <w:p w14:paraId="680E79AD"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Cambria"/>
                <w:sz w:val="16"/>
                <w:szCs w:val="16"/>
                <w:lang w:val="el-GR"/>
              </w:rPr>
              <w:t xml:space="preserve">‐ </w:t>
            </w:r>
            <w:r w:rsidRPr="00486EC5">
              <w:rPr>
                <w:rFonts w:asciiTheme="minorHAnsi" w:eastAsiaTheme="minorHAnsi" w:hAnsiTheme="minorHAnsi" w:cs="Arial"/>
                <w:sz w:val="16"/>
                <w:szCs w:val="16"/>
                <w:lang w:val="el-GR"/>
              </w:rPr>
              <w:t>Υπουργείων/ Κυβερνητικών Τμημάτων</w:t>
            </w:r>
          </w:p>
          <w:p w14:paraId="0E5EC49B"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Cambria"/>
                <w:sz w:val="16"/>
                <w:szCs w:val="16"/>
                <w:lang w:val="el-GR"/>
              </w:rPr>
              <w:t xml:space="preserve">‐ </w:t>
            </w:r>
            <w:r w:rsidRPr="00486EC5">
              <w:rPr>
                <w:rFonts w:asciiTheme="minorHAnsi" w:eastAsiaTheme="minorHAnsi" w:hAnsiTheme="minorHAnsi" w:cs="Arial"/>
                <w:sz w:val="16"/>
                <w:szCs w:val="16"/>
                <w:lang w:val="el-GR"/>
              </w:rPr>
              <w:t>Εμπλεκόμενων Hμικρατικών Οργανισμών</w:t>
            </w:r>
          </w:p>
          <w:p w14:paraId="64A93138"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Cambria"/>
                <w:sz w:val="16"/>
                <w:szCs w:val="16"/>
                <w:lang w:val="el-GR"/>
              </w:rPr>
              <w:t xml:space="preserve">‐ </w:t>
            </w:r>
            <w:r w:rsidRPr="00486EC5">
              <w:rPr>
                <w:rFonts w:asciiTheme="minorHAnsi" w:eastAsiaTheme="minorHAnsi" w:hAnsiTheme="minorHAnsi" w:cs="Arial"/>
                <w:sz w:val="16"/>
                <w:szCs w:val="16"/>
                <w:lang w:val="el-GR"/>
              </w:rPr>
              <w:t>ETEK και Φορέων των Επιστημόνων Μηχανικών</w:t>
            </w:r>
          </w:p>
          <w:p w14:paraId="49D2130D"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Cambria"/>
                <w:sz w:val="16"/>
                <w:szCs w:val="16"/>
                <w:lang w:val="el-GR"/>
              </w:rPr>
              <w:t xml:space="preserve">‐ </w:t>
            </w:r>
            <w:r w:rsidRPr="00486EC5">
              <w:rPr>
                <w:rFonts w:asciiTheme="minorHAnsi" w:eastAsiaTheme="minorHAnsi" w:hAnsiTheme="minorHAnsi" w:cs="Arial"/>
                <w:sz w:val="16"/>
                <w:szCs w:val="16"/>
                <w:lang w:val="el-GR"/>
              </w:rPr>
              <w:t>Συνδικαλιστικών Οργανώσεων</w:t>
            </w:r>
          </w:p>
          <w:p w14:paraId="1B31AE2B"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Cambria"/>
                <w:sz w:val="16"/>
                <w:szCs w:val="16"/>
                <w:lang w:val="el-GR"/>
              </w:rPr>
              <w:t xml:space="preserve">‐ </w:t>
            </w:r>
            <w:r w:rsidRPr="00486EC5">
              <w:rPr>
                <w:rFonts w:asciiTheme="minorHAnsi" w:eastAsiaTheme="minorHAnsi" w:hAnsiTheme="minorHAnsi" w:cs="Arial"/>
                <w:sz w:val="16"/>
                <w:szCs w:val="16"/>
                <w:lang w:val="el-GR"/>
              </w:rPr>
              <w:t>Εργοδοτικών Οργανώσεων</w:t>
            </w:r>
          </w:p>
          <w:p w14:paraId="5BF3764B"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Cambria"/>
                <w:sz w:val="16"/>
                <w:szCs w:val="16"/>
                <w:lang w:val="el-GR"/>
              </w:rPr>
              <w:t xml:space="preserve">‐ </w:t>
            </w:r>
            <w:r w:rsidRPr="00486EC5">
              <w:rPr>
                <w:rFonts w:asciiTheme="minorHAnsi" w:eastAsiaTheme="minorHAnsi" w:hAnsiTheme="minorHAnsi" w:cs="Arial"/>
                <w:sz w:val="16"/>
                <w:szCs w:val="16"/>
                <w:lang w:val="el-GR"/>
              </w:rPr>
              <w:t>ΟΛΤΕΚ και Συνομοσπονδίας Συνδέσμων Γονέων Δημοσίων Σχολείων Μέσης Εκπαίδευσης.</w:t>
            </w:r>
          </w:p>
          <w:p w14:paraId="260E10CF"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lastRenderedPageBreak/>
              <w:t>Επιπρόσθετα, θεσμοθετείται η σύσταση Συμβουλευτικών Επιτροπών για τα διάφορα Προγράμματα, Κλάδους και Ειδικότητες.</w:t>
            </w:r>
          </w:p>
          <w:p w14:paraId="04A7AED1"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Οργάνωση εθνικού συστήματος παρακολούθησης (national monitoring system) της πρόσβασης των αποφοίτων της Τεχνικής και Επαγγελματικής Εκπαίδευσης στην αγορά εργασίας.</w:t>
            </w:r>
          </w:p>
        </w:tc>
      </w:tr>
      <w:tr w:rsidR="005C0158" w:rsidRPr="00486EC5" w14:paraId="19E8DEC0" w14:textId="77777777" w:rsidTr="004003A3">
        <w:trPr>
          <w:trHeight w:val="726"/>
          <w:jc w:val="center"/>
        </w:trPr>
        <w:tc>
          <w:tcPr>
            <w:tcW w:w="597" w:type="pct"/>
          </w:tcPr>
          <w:p w14:paraId="495A200E" w14:textId="77777777" w:rsidR="005C0158" w:rsidRPr="00486EC5" w:rsidRDefault="005C0158" w:rsidP="004003A3">
            <w:pPr>
              <w:spacing w:before="120" w:after="0" w:line="240" w:lineRule="auto"/>
              <w:rPr>
                <w:rFonts w:asciiTheme="minorHAnsi" w:hAnsiTheme="minorHAnsi" w:cs="Calibri"/>
                <w:b/>
                <w:i/>
                <w:sz w:val="16"/>
                <w:szCs w:val="16"/>
                <w:lang w:val="el-GR"/>
              </w:rPr>
            </w:pPr>
          </w:p>
        </w:tc>
        <w:tc>
          <w:tcPr>
            <w:tcW w:w="599" w:type="pct"/>
          </w:tcPr>
          <w:p w14:paraId="218C8630"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3. για τη βελτίωση της ποιότητας και της ελκυστικότητας της επαγγελματικής εκπαίδευσης και κατάρτισης (ΕΕΚ)</w:t>
            </w:r>
          </w:p>
        </w:tc>
        <w:tc>
          <w:tcPr>
            <w:tcW w:w="1190" w:type="pct"/>
          </w:tcPr>
          <w:p w14:paraId="2704B5C2"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Διασφάλιση της Ποιότητας Η υψηλή ποιότητα της παρεχόμενης Τεχνικής και Επαγγελματικής Εκπαίδευσης αποτελεί προϋπόθεση για την ελκυστικότητά της.</w:t>
            </w:r>
          </w:p>
          <w:p w14:paraId="7ABD908A"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Για τη διασφάλιση της ποιότητας, της διαφάνειας, της αμοιβαίας εμπιστοσύνης και της κινητικότητας των μαθητών, το εκπαιδευτικό σύστημα της Κύπρου θα εγκαθιδρύσει Πλαίσιο Διασφάλισης της Ποιότητας, σύμφωνα με τη Σύσταση για το EQVET. Στα πλαίσια του EQAVET θα εγκαθιδρυθεί εθνικό σύστημα παρακολούθησης της ποιότητας της Τεχνικής και Επαγγελματικής Εκπαίδευσης με βάση τους δείκτες αξιολόγησης που προτείνονται. Ανάπτυξη Νέων Προγραμμάτων Σπουδών Επαγγελματικής Εκπαίδευσης και Κατάρτισης Εισαγωγή Αναλυτικών Προγραμμάτων με βάση τις Μαθησιακές Ενότητες (modules) και τις Μονάδες ECVET. Τα Αναλυτικά Προγράμματα θα βασίζονται στα Μαθησιακά Αποτελέσματα (Γνώσεις – Δεξιότητες – Ικανότητες).</w:t>
            </w:r>
          </w:p>
        </w:tc>
        <w:tc>
          <w:tcPr>
            <w:tcW w:w="375" w:type="pct"/>
          </w:tcPr>
          <w:p w14:paraId="555EFFC2" w14:textId="77777777" w:rsidR="005C0158" w:rsidRPr="00486EC5" w:rsidRDefault="005C0158" w:rsidP="004003A3">
            <w:pPr>
              <w:autoSpaceDE w:val="0"/>
              <w:autoSpaceDN w:val="0"/>
              <w:adjustRightInd w:val="0"/>
              <w:spacing w:before="120" w:after="0" w:line="240" w:lineRule="auto"/>
              <w:jc w:val="center"/>
              <w:rPr>
                <w:rFonts w:asciiTheme="minorHAnsi" w:hAnsiTheme="minorHAnsi" w:cs="Calibri"/>
                <w:color w:val="000000"/>
                <w:sz w:val="16"/>
                <w:szCs w:val="16"/>
                <w:lang w:val="el-GR"/>
              </w:rPr>
            </w:pPr>
            <w:r w:rsidRPr="00486EC5">
              <w:rPr>
                <w:rFonts w:asciiTheme="minorHAnsi" w:eastAsiaTheme="minorHAnsi" w:hAnsiTheme="minorHAnsi" w:cs="Arial"/>
                <w:sz w:val="16"/>
                <w:szCs w:val="16"/>
                <w:lang w:val="el-GR"/>
              </w:rPr>
              <w:t>31/03/2015</w:t>
            </w:r>
          </w:p>
        </w:tc>
        <w:tc>
          <w:tcPr>
            <w:tcW w:w="423" w:type="pct"/>
          </w:tcPr>
          <w:p w14:paraId="3886989C" w14:textId="77777777" w:rsidR="005C0158" w:rsidRPr="00486EC5" w:rsidRDefault="005C0158" w:rsidP="004003A3">
            <w:pPr>
              <w:autoSpaceDE w:val="0"/>
              <w:autoSpaceDN w:val="0"/>
              <w:adjustRightInd w:val="0"/>
              <w:spacing w:before="120" w:after="0" w:line="240" w:lineRule="auto"/>
              <w:jc w:val="center"/>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Υπουργείο Παιδείας και Πολιτισμού</w:t>
            </w:r>
          </w:p>
        </w:tc>
        <w:tc>
          <w:tcPr>
            <w:tcW w:w="349" w:type="pct"/>
          </w:tcPr>
          <w:p w14:paraId="1E995810"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eastAsiaTheme="minorHAnsi" w:hAnsiTheme="minorHAnsi" w:cs="Arial"/>
                <w:sz w:val="16"/>
                <w:szCs w:val="16"/>
                <w:lang w:val="el-GR"/>
              </w:rPr>
              <w:t>ΝΑΙ</w:t>
            </w:r>
          </w:p>
        </w:tc>
        <w:tc>
          <w:tcPr>
            <w:tcW w:w="317" w:type="pct"/>
          </w:tcPr>
          <w:p w14:paraId="7BD42AE9"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r w:rsidRPr="00486EC5">
              <w:rPr>
                <w:rFonts w:asciiTheme="minorHAnsi" w:eastAsiaTheme="minorHAnsi" w:hAnsiTheme="minorHAnsi" w:cs="Arial"/>
                <w:sz w:val="16"/>
                <w:szCs w:val="16"/>
                <w:lang w:val="el-GR"/>
              </w:rPr>
              <w:t>ΝΑΙ</w:t>
            </w:r>
          </w:p>
        </w:tc>
        <w:tc>
          <w:tcPr>
            <w:tcW w:w="358" w:type="pct"/>
          </w:tcPr>
          <w:p w14:paraId="157F2954" w14:textId="77777777" w:rsidR="005C0158" w:rsidRPr="00486EC5" w:rsidRDefault="005C0158" w:rsidP="004003A3">
            <w:pPr>
              <w:snapToGrid w:val="0"/>
              <w:spacing w:before="120" w:after="0" w:line="240" w:lineRule="auto"/>
              <w:jc w:val="center"/>
              <w:rPr>
                <w:rFonts w:asciiTheme="minorHAnsi" w:hAnsiTheme="minorHAnsi" w:cs="Calibri"/>
                <w:sz w:val="16"/>
                <w:szCs w:val="16"/>
                <w:lang w:val="el-GR"/>
              </w:rPr>
            </w:pPr>
          </w:p>
        </w:tc>
        <w:tc>
          <w:tcPr>
            <w:tcW w:w="792" w:type="pct"/>
          </w:tcPr>
          <w:p w14:paraId="4A613895"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Ο έλεγχος της ποιότητας διενεργείται από τη Διεύθυνσης ΜΤΕΕ αλλά και από ομάδα εξωτερικών αξιολογητών.</w:t>
            </w:r>
          </w:p>
          <w:p w14:paraId="0EC48765"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1.Για τη διασφάλιση της ποιότητας, της διαφάνειας, της αμοιβαίας εμπιστοσύνης και της κινητικότητας των μαθητών, σπουδαστών και εκπαιδευομένων, εγκαθιδρύεται Πλαίσιο Διασφάλισης της Ποιότητας, σύμφωνα με τη Σύσταση για το EQAVET το οποίο θα περιλαμβάνει εθνικό σύστημα παρακολούθησης της ποιότητας.</w:t>
            </w:r>
          </w:p>
          <w:p w14:paraId="248AEA4F"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 xml:space="preserve">2. Θα πραγματοποιούνται εκστρατείες ενημέρωσης του κοινού και συμβουλευτικής/ επαγγελματικής αγωγής προς μαθητές γυμνασίου σχετικά με τα διάφορα επαγγέλματα και τις δυνατότητες </w:t>
            </w:r>
            <w:r w:rsidRPr="00486EC5">
              <w:rPr>
                <w:rFonts w:asciiTheme="minorHAnsi" w:eastAsiaTheme="minorHAnsi" w:hAnsiTheme="minorHAnsi" w:cs="Arial"/>
                <w:sz w:val="16"/>
                <w:szCs w:val="16"/>
                <w:lang w:val="el-GR"/>
              </w:rPr>
              <w:lastRenderedPageBreak/>
              <w:t>σταδιοδρομίας που προσφέρονται.</w:t>
            </w:r>
          </w:p>
          <w:p w14:paraId="004BB085"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3. Θα προωθηθεί η Πιστοποίηση των Επαγγελματικών Προσόντων.</w:t>
            </w:r>
          </w:p>
          <w:p w14:paraId="72BF8D4B"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Cambria"/>
                <w:sz w:val="16"/>
                <w:szCs w:val="16"/>
                <w:lang w:val="el-GR"/>
              </w:rPr>
              <w:t xml:space="preserve">‐ </w:t>
            </w:r>
            <w:r w:rsidRPr="00486EC5">
              <w:rPr>
                <w:rFonts w:asciiTheme="minorHAnsi" w:eastAsiaTheme="minorHAnsi" w:hAnsiTheme="minorHAnsi" w:cs="Arial"/>
                <w:sz w:val="16"/>
                <w:szCs w:val="16"/>
                <w:lang w:val="el-GR"/>
              </w:rPr>
              <w:t>Όπου είναι εφικτό θα γίνεται πιστοποίηση ISO.</w:t>
            </w:r>
          </w:p>
          <w:p w14:paraId="399C722E"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Cambria"/>
                <w:sz w:val="16"/>
                <w:szCs w:val="16"/>
                <w:lang w:val="el-GR"/>
              </w:rPr>
              <w:t>‐ Θ</w:t>
            </w:r>
            <w:r w:rsidRPr="00486EC5">
              <w:rPr>
                <w:rFonts w:asciiTheme="minorHAnsi" w:eastAsiaTheme="minorHAnsi" w:hAnsiTheme="minorHAnsi" w:cs="Arial"/>
                <w:sz w:val="16"/>
                <w:szCs w:val="16"/>
                <w:lang w:val="el-GR"/>
              </w:rPr>
              <w:t>α αξιοποιείται το Σύστημα Επαγγελματικών Προσόντων της ΑνΑΔ.</w:t>
            </w:r>
          </w:p>
          <w:p w14:paraId="41D52135"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Cambria"/>
                <w:sz w:val="16"/>
                <w:szCs w:val="16"/>
                <w:lang w:val="el-GR"/>
              </w:rPr>
              <w:t xml:space="preserve">‐ </w:t>
            </w:r>
            <w:r w:rsidRPr="00486EC5">
              <w:rPr>
                <w:rFonts w:asciiTheme="minorHAnsi" w:eastAsiaTheme="minorHAnsi" w:hAnsiTheme="minorHAnsi" w:cs="Arial"/>
                <w:sz w:val="16"/>
                <w:szCs w:val="16"/>
                <w:lang w:val="el-GR"/>
              </w:rPr>
              <w:t>Στα επαγγέλματα όπου ορίζεται εξειδικευμένη πιστοποίηση από το κράτος θα γίνεται πιστοποίηση στα πλαίσια του προγράμματος</w:t>
            </w:r>
          </w:p>
          <w:p w14:paraId="2867C792"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4. Η βελτίωση της ποιότητας και των ικανοτήτων των εκπαιδευτικών ΜΤΕΕ θα προωθηθεί μέσα από την οργάνωση πρακτικών εργαστηρίων.</w:t>
            </w:r>
          </w:p>
          <w:p w14:paraId="305FF34C"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 xml:space="preserve">5. Η σύνδεση όλων των προγραμμάτων Επαγγελματικής Εκπαίδευσης και Κατάρτισης με την εξασφάλιση της οριζόντιας διακίνησης μεταξύ της ΜΤΕΕ και του θεσμού των Εσπερινών Τεχνικών Σχολών με αυτό των Βραδινών Τμημάτων των Τεχνικών Σχολών και του Συστήματος Μαθητείας. Το κοινό σύστημα δημιουργεί ένα νέο ευέλικτο θεσμό δια βίου εκπαίδευσης </w:t>
            </w:r>
            <w:r w:rsidRPr="00486EC5">
              <w:rPr>
                <w:rFonts w:asciiTheme="minorHAnsi" w:eastAsiaTheme="minorHAnsi" w:hAnsiTheme="minorHAnsi" w:cs="Arial"/>
                <w:sz w:val="16"/>
                <w:szCs w:val="16"/>
                <w:lang w:val="el-GR"/>
              </w:rPr>
              <w:lastRenderedPageBreak/>
              <w:t>και κατάρτισης και δεύτερης ευκαιρίας.</w:t>
            </w:r>
          </w:p>
          <w:p w14:paraId="6C057A7B"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6. Αναβάθμιση και Ευελιξία των Εσπερινών Τεχνικών Σχολών</w:t>
            </w:r>
          </w:p>
          <w:p w14:paraId="2938B2A7"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7. Περαιτέρω ανάπτυξη των Μεταλυκειακών Ινστιτούτων Επαγγελματικής Εκπαίδευσης και Κατάρτισης. Θα διασφαλιστεί η αντιστοιχία των προγραμμάτων εκπαίδευσης ΜΙΕΕΚ, με το επίπεδο 5 του Ευρωπαϊκού Πλαισίου Προσόντων αλλά και του ISCED, έτσι ώστε να γίνεται δυνατή η ένταξη των σπουδαστών σε πανεπιστημιακά προγράμματα. Θα προωθηθεί η διεθνής πιστοποίηση για προγράμματα υψηλής εξειδίκευσης και επικινδυνότητας.</w:t>
            </w:r>
          </w:p>
          <w:p w14:paraId="7F2A6EC8" w14:textId="77777777" w:rsidR="005C0158" w:rsidRPr="00486EC5" w:rsidRDefault="005C0158" w:rsidP="004003A3">
            <w:pPr>
              <w:autoSpaceDE w:val="0"/>
              <w:autoSpaceDN w:val="0"/>
              <w:adjustRightInd w:val="0"/>
              <w:spacing w:before="120" w:after="0" w:line="240" w:lineRule="auto"/>
              <w:rPr>
                <w:rFonts w:asciiTheme="minorHAnsi" w:eastAsiaTheme="minorHAnsi" w:hAnsiTheme="minorHAnsi" w:cs="Arial"/>
                <w:sz w:val="16"/>
                <w:szCs w:val="16"/>
                <w:lang w:val="el-GR"/>
              </w:rPr>
            </w:pPr>
            <w:r w:rsidRPr="00486EC5">
              <w:rPr>
                <w:rFonts w:asciiTheme="minorHAnsi" w:eastAsiaTheme="minorHAnsi" w:hAnsiTheme="minorHAnsi" w:cs="Arial"/>
                <w:sz w:val="16"/>
                <w:szCs w:val="16"/>
                <w:lang w:val="el-GR"/>
              </w:rPr>
              <w:t>8. Ανάπτυξη Νέων Προγραμμάτων Σπουδών Μέσης Τεχνικής και Επαγγελματικής Εκπαίδευσης με βάση τις Μαθησιακές Ενότητες και τις Μονάδες ECVET.</w:t>
            </w:r>
          </w:p>
        </w:tc>
      </w:tr>
    </w:tbl>
    <w:p w14:paraId="2D84D5C1" w14:textId="77777777" w:rsidR="00C05BA7" w:rsidRPr="00C05BA7" w:rsidRDefault="00C05BA7" w:rsidP="00C05BA7">
      <w:pPr>
        <w:spacing w:after="0"/>
        <w:rPr>
          <w:lang w:val="el-GR"/>
        </w:rPr>
      </w:pPr>
    </w:p>
    <w:p w14:paraId="5C09109F" w14:textId="77777777" w:rsidR="00C05BA7" w:rsidRPr="00C05BA7" w:rsidRDefault="00C05BA7" w:rsidP="00C05BA7">
      <w:pPr>
        <w:spacing w:after="0"/>
        <w:rPr>
          <w:lang w:val="el-GR"/>
        </w:rPr>
      </w:pPr>
    </w:p>
    <w:p w14:paraId="62CF96DA" w14:textId="77777777" w:rsidR="00C05BA7" w:rsidRPr="00C05BA7" w:rsidRDefault="00C05BA7" w:rsidP="00C05BA7">
      <w:pPr>
        <w:spacing w:after="0"/>
        <w:rPr>
          <w:lang w:val="el-GR"/>
        </w:rPr>
      </w:pPr>
    </w:p>
    <w:p w14:paraId="50DB0309" w14:textId="09637FD0" w:rsidR="00C05BA7" w:rsidRPr="00C05BA7" w:rsidRDefault="00C05BA7" w:rsidP="00C05BA7">
      <w:pPr>
        <w:keepNext/>
        <w:keepLines/>
        <w:jc w:val="center"/>
        <w:rPr>
          <w:lang w:val="el-GR"/>
        </w:rPr>
      </w:pPr>
      <w:r w:rsidRPr="00C05BA7">
        <w:rPr>
          <w:rFonts w:cs="Calibri"/>
          <w:b/>
          <w:sz w:val="20"/>
          <w:szCs w:val="20"/>
          <w:lang w:val="el-GR"/>
        </w:rPr>
        <w:lastRenderedPageBreak/>
        <w:t xml:space="preserve">ΠΙΝΑΚΑΣ Δ: Μέτρα που λήφθηκαν για την τήρηση των εφαρμοστέων Θεματικών </w:t>
      </w:r>
      <w:r w:rsidR="002E17B7">
        <w:rPr>
          <w:rFonts w:cs="Calibri"/>
          <w:b/>
          <w:sz w:val="20"/>
          <w:szCs w:val="20"/>
          <w:lang w:val="el-GR"/>
        </w:rPr>
        <w:t>Ε</w:t>
      </w:r>
      <w:r w:rsidRPr="00C05BA7">
        <w:rPr>
          <w:rFonts w:cs="Calibri"/>
          <w:b/>
          <w:sz w:val="20"/>
          <w:szCs w:val="20"/>
          <w:lang w:val="el-GR"/>
        </w:rPr>
        <w:t xml:space="preserve">κ των </w:t>
      </w:r>
      <w:r w:rsidR="002E17B7">
        <w:rPr>
          <w:rFonts w:cs="Calibri"/>
          <w:b/>
          <w:sz w:val="20"/>
          <w:szCs w:val="20"/>
          <w:lang w:val="el-GR"/>
        </w:rPr>
        <w:t>Π</w:t>
      </w:r>
      <w:r w:rsidRPr="00C05BA7">
        <w:rPr>
          <w:rFonts w:cs="Calibri"/>
          <w:b/>
          <w:sz w:val="20"/>
          <w:szCs w:val="20"/>
          <w:lang w:val="el-GR"/>
        </w:rPr>
        <w:t xml:space="preserve">ροτέρων </w:t>
      </w:r>
      <w:r w:rsidR="002E17B7">
        <w:rPr>
          <w:rFonts w:cs="Calibri"/>
          <w:b/>
          <w:sz w:val="20"/>
          <w:szCs w:val="20"/>
          <w:lang w:val="el-GR"/>
        </w:rPr>
        <w:t>Α</w:t>
      </w:r>
      <w:r w:rsidRPr="00C05BA7">
        <w:rPr>
          <w:rFonts w:cs="Calibri"/>
          <w:b/>
          <w:sz w:val="20"/>
          <w:szCs w:val="20"/>
          <w:lang w:val="el-GR"/>
        </w:rPr>
        <w:t xml:space="preserve">ιρεσιμοτήτων </w:t>
      </w:r>
      <w:r w:rsidR="002E17B7">
        <w:rPr>
          <w:rFonts w:cs="Calibri"/>
          <w:b/>
          <w:sz w:val="20"/>
          <w:szCs w:val="20"/>
          <w:lang w:val="el-GR"/>
        </w:rPr>
        <w:t>–</w:t>
      </w:r>
      <w:r w:rsidRPr="00C05BA7">
        <w:rPr>
          <w:rFonts w:cs="Calibri"/>
          <w:b/>
          <w:sz w:val="20"/>
          <w:szCs w:val="20"/>
          <w:lang w:val="el-GR"/>
        </w:rPr>
        <w:t xml:space="preserve"> </w:t>
      </w:r>
      <w:r w:rsidR="002E17B7">
        <w:rPr>
          <w:rFonts w:cs="Calibri"/>
          <w:b/>
          <w:sz w:val="20"/>
          <w:szCs w:val="20"/>
          <w:lang w:val="el-GR"/>
        </w:rPr>
        <w:t>ΕΠ Θάλασσα</w:t>
      </w:r>
    </w:p>
    <w:tbl>
      <w:tblPr>
        <w:tblW w:w="5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1534"/>
        <w:gridCol w:w="3771"/>
        <w:gridCol w:w="1254"/>
        <w:gridCol w:w="1257"/>
        <w:gridCol w:w="1119"/>
        <w:gridCol w:w="1003"/>
        <w:gridCol w:w="1393"/>
        <w:gridCol w:w="2015"/>
      </w:tblGrid>
      <w:tr w:rsidR="00C05BA7" w:rsidRPr="00C05BA7" w14:paraId="079E3E33" w14:textId="77777777" w:rsidTr="00C05BA7">
        <w:trPr>
          <w:trHeight w:val="493"/>
          <w:tblHeader/>
          <w:jc w:val="center"/>
        </w:trPr>
        <w:tc>
          <w:tcPr>
            <w:tcW w:w="473" w:type="pct"/>
            <w:tcBorders>
              <w:top w:val="single" w:sz="4" w:space="0" w:color="auto"/>
              <w:bottom w:val="single" w:sz="4" w:space="0" w:color="auto"/>
            </w:tcBorders>
            <w:shd w:val="clear" w:color="auto" w:fill="D9D9D9"/>
          </w:tcPr>
          <w:p w14:paraId="7D1041F0" w14:textId="77777777" w:rsidR="00C05BA7" w:rsidRPr="00C05BA7" w:rsidRDefault="00C05BA7" w:rsidP="00C05BA7">
            <w:pPr>
              <w:keepNext/>
              <w:keepLines/>
              <w:snapToGrid w:val="0"/>
              <w:spacing w:before="120" w:after="0" w:line="240" w:lineRule="auto"/>
              <w:jc w:val="center"/>
              <w:rPr>
                <w:rFonts w:cs="Calibri"/>
                <w:b/>
                <w:sz w:val="16"/>
                <w:szCs w:val="16"/>
                <w:lang w:val="el-GR"/>
              </w:rPr>
            </w:pPr>
            <w:r w:rsidRPr="00C05BA7">
              <w:rPr>
                <w:rFonts w:cs="Calibri"/>
                <w:b/>
                <w:sz w:val="16"/>
                <w:szCs w:val="16"/>
                <w:lang w:val="el-GR"/>
              </w:rPr>
              <w:t>Θεματική εκ των προτέρων αιρεσιμότητα</w:t>
            </w:r>
          </w:p>
        </w:tc>
        <w:tc>
          <w:tcPr>
            <w:tcW w:w="521" w:type="pct"/>
            <w:tcBorders>
              <w:top w:val="single" w:sz="4" w:space="0" w:color="auto"/>
              <w:bottom w:val="single" w:sz="4" w:space="0" w:color="auto"/>
            </w:tcBorders>
            <w:shd w:val="clear" w:color="auto" w:fill="D9D9D9"/>
          </w:tcPr>
          <w:p w14:paraId="73BE93F0" w14:textId="77777777" w:rsidR="00C05BA7" w:rsidRPr="00C05BA7" w:rsidRDefault="00C05BA7" w:rsidP="00C05BA7">
            <w:pPr>
              <w:keepNext/>
              <w:keepLines/>
              <w:snapToGrid w:val="0"/>
              <w:spacing w:before="120" w:after="0" w:line="240" w:lineRule="auto"/>
              <w:jc w:val="center"/>
              <w:rPr>
                <w:rFonts w:cs="Calibri"/>
                <w:b/>
                <w:sz w:val="16"/>
                <w:szCs w:val="16"/>
              </w:rPr>
            </w:pPr>
            <w:r w:rsidRPr="00C05BA7">
              <w:rPr>
                <w:rFonts w:cs="Calibri"/>
                <w:b/>
                <w:sz w:val="16"/>
                <w:szCs w:val="16"/>
              </w:rPr>
              <w:t>Κριτήρια που δεν πληρούνταν</w:t>
            </w:r>
          </w:p>
        </w:tc>
        <w:tc>
          <w:tcPr>
            <w:tcW w:w="1280" w:type="pct"/>
            <w:tcBorders>
              <w:top w:val="single" w:sz="4" w:space="0" w:color="auto"/>
              <w:bottom w:val="single" w:sz="4" w:space="0" w:color="auto"/>
            </w:tcBorders>
            <w:shd w:val="clear" w:color="auto" w:fill="D9D9D9"/>
          </w:tcPr>
          <w:p w14:paraId="713E52D9" w14:textId="77777777" w:rsidR="00C05BA7" w:rsidRPr="00C05BA7" w:rsidRDefault="00C05BA7" w:rsidP="00C05BA7">
            <w:pPr>
              <w:keepNext/>
              <w:keepLines/>
              <w:snapToGrid w:val="0"/>
              <w:spacing w:before="120" w:after="0" w:line="240" w:lineRule="auto"/>
              <w:jc w:val="center"/>
              <w:rPr>
                <w:rFonts w:cs="Calibri"/>
                <w:b/>
                <w:sz w:val="16"/>
                <w:szCs w:val="16"/>
              </w:rPr>
            </w:pPr>
            <w:r w:rsidRPr="00C05BA7">
              <w:rPr>
                <w:rFonts w:cs="Calibri"/>
                <w:b/>
                <w:sz w:val="16"/>
                <w:szCs w:val="16"/>
              </w:rPr>
              <w:t>Ανάληψη Δράσης</w:t>
            </w:r>
          </w:p>
        </w:tc>
        <w:tc>
          <w:tcPr>
            <w:tcW w:w="426" w:type="pct"/>
            <w:tcBorders>
              <w:top w:val="single" w:sz="4" w:space="0" w:color="auto"/>
              <w:bottom w:val="single" w:sz="4" w:space="0" w:color="auto"/>
            </w:tcBorders>
            <w:shd w:val="clear" w:color="auto" w:fill="D9D9D9"/>
          </w:tcPr>
          <w:p w14:paraId="7EFD47FD" w14:textId="77777777" w:rsidR="00C05BA7" w:rsidRPr="00C05BA7" w:rsidRDefault="00C05BA7" w:rsidP="00C05BA7">
            <w:pPr>
              <w:keepNext/>
              <w:keepLines/>
              <w:snapToGrid w:val="0"/>
              <w:spacing w:before="120" w:after="0" w:line="240" w:lineRule="auto"/>
              <w:jc w:val="center"/>
              <w:rPr>
                <w:rFonts w:cs="Calibri"/>
                <w:b/>
                <w:sz w:val="16"/>
                <w:szCs w:val="16"/>
              </w:rPr>
            </w:pPr>
            <w:r w:rsidRPr="00C05BA7">
              <w:rPr>
                <w:rFonts w:cs="Calibri"/>
                <w:b/>
                <w:sz w:val="16"/>
                <w:szCs w:val="16"/>
              </w:rPr>
              <w:t>Προθεσμία</w:t>
            </w:r>
            <w:r w:rsidRPr="00C05BA7">
              <w:rPr>
                <w:rFonts w:cs="Calibri"/>
                <w:b/>
                <w:sz w:val="16"/>
                <w:szCs w:val="16"/>
                <w:lang w:val="el-GR"/>
              </w:rPr>
              <w:t xml:space="preserve"> </w:t>
            </w:r>
            <w:r w:rsidRPr="00C05BA7">
              <w:rPr>
                <w:rFonts w:cs="Calibri"/>
                <w:b/>
                <w:sz w:val="16"/>
                <w:szCs w:val="16"/>
              </w:rPr>
              <w:t>(αναμενόμενη ημερομηνία εκπλήρωσης)</w:t>
            </w:r>
          </w:p>
        </w:tc>
        <w:tc>
          <w:tcPr>
            <w:tcW w:w="427" w:type="pct"/>
            <w:tcBorders>
              <w:top w:val="single" w:sz="4" w:space="0" w:color="auto"/>
              <w:bottom w:val="single" w:sz="4" w:space="0" w:color="auto"/>
            </w:tcBorders>
            <w:shd w:val="clear" w:color="auto" w:fill="D9D9D9"/>
          </w:tcPr>
          <w:p w14:paraId="55BFAA2C" w14:textId="77777777" w:rsidR="00C05BA7" w:rsidRPr="00C05BA7" w:rsidRDefault="00C05BA7" w:rsidP="00C05BA7">
            <w:pPr>
              <w:keepNext/>
              <w:keepLines/>
              <w:snapToGrid w:val="0"/>
              <w:spacing w:before="120" w:after="0" w:line="240" w:lineRule="auto"/>
              <w:jc w:val="center"/>
              <w:rPr>
                <w:rFonts w:cs="Calibri"/>
                <w:b/>
                <w:sz w:val="16"/>
                <w:szCs w:val="16"/>
              </w:rPr>
            </w:pPr>
            <w:r w:rsidRPr="00C05BA7">
              <w:rPr>
                <w:rFonts w:cs="Calibri"/>
                <w:b/>
                <w:sz w:val="16"/>
                <w:szCs w:val="16"/>
              </w:rPr>
              <w:t>Αρμόδιοι Φορείς</w:t>
            </w:r>
          </w:p>
        </w:tc>
        <w:tc>
          <w:tcPr>
            <w:tcW w:w="380" w:type="pct"/>
            <w:tcBorders>
              <w:top w:val="single" w:sz="4" w:space="0" w:color="auto"/>
              <w:bottom w:val="single" w:sz="4" w:space="0" w:color="auto"/>
            </w:tcBorders>
            <w:shd w:val="clear" w:color="auto" w:fill="D9D9D9"/>
          </w:tcPr>
          <w:p w14:paraId="34F03E2A" w14:textId="77777777" w:rsidR="00C05BA7" w:rsidRPr="00C05BA7" w:rsidRDefault="00C05BA7" w:rsidP="00C05BA7">
            <w:pPr>
              <w:keepNext/>
              <w:keepLines/>
              <w:snapToGrid w:val="0"/>
              <w:spacing w:before="120" w:after="0" w:line="240" w:lineRule="auto"/>
              <w:jc w:val="center"/>
              <w:rPr>
                <w:rFonts w:cs="Calibri"/>
                <w:b/>
                <w:sz w:val="16"/>
                <w:szCs w:val="16"/>
                <w:lang w:val="el-GR"/>
              </w:rPr>
            </w:pPr>
            <w:r w:rsidRPr="00C05BA7">
              <w:rPr>
                <w:rFonts w:cs="Calibri"/>
                <w:b/>
                <w:sz w:val="16"/>
                <w:szCs w:val="16"/>
                <w:lang w:val="el-GR"/>
              </w:rPr>
              <w:t>Ολοκλήρωση Μέτρου εντός προθεσμίας (Ν/Ο)</w:t>
            </w:r>
          </w:p>
        </w:tc>
        <w:tc>
          <w:tcPr>
            <w:tcW w:w="336" w:type="pct"/>
            <w:tcBorders>
              <w:top w:val="single" w:sz="4" w:space="0" w:color="auto"/>
              <w:bottom w:val="single" w:sz="4" w:space="0" w:color="auto"/>
            </w:tcBorders>
            <w:shd w:val="clear" w:color="auto" w:fill="D9D9D9"/>
          </w:tcPr>
          <w:p w14:paraId="7F8DA579" w14:textId="77777777" w:rsidR="00C05BA7" w:rsidRPr="00C05BA7" w:rsidRDefault="00C05BA7" w:rsidP="00C05BA7">
            <w:pPr>
              <w:keepNext/>
              <w:keepLines/>
              <w:snapToGrid w:val="0"/>
              <w:spacing w:before="120" w:after="0" w:line="240" w:lineRule="auto"/>
              <w:jc w:val="center"/>
              <w:rPr>
                <w:rFonts w:cs="Calibri"/>
                <w:b/>
                <w:sz w:val="16"/>
                <w:szCs w:val="16"/>
                <w:lang w:val="el-GR"/>
              </w:rPr>
            </w:pPr>
            <w:r w:rsidRPr="00C05BA7">
              <w:rPr>
                <w:rFonts w:cs="Calibri"/>
                <w:b/>
                <w:sz w:val="16"/>
                <w:szCs w:val="16"/>
                <w:lang w:val="el-GR"/>
              </w:rPr>
              <w:t>Εκπλήρωση Κριτηρίου (Ν/Ο)</w:t>
            </w:r>
          </w:p>
        </w:tc>
        <w:tc>
          <w:tcPr>
            <w:tcW w:w="473" w:type="pct"/>
            <w:tcBorders>
              <w:top w:val="single" w:sz="4" w:space="0" w:color="auto"/>
              <w:bottom w:val="single" w:sz="4" w:space="0" w:color="auto"/>
            </w:tcBorders>
            <w:shd w:val="clear" w:color="auto" w:fill="D9D9D9"/>
          </w:tcPr>
          <w:p w14:paraId="78121973" w14:textId="77777777" w:rsidR="00C05BA7" w:rsidRPr="00C05BA7" w:rsidRDefault="00C05BA7" w:rsidP="00C05BA7">
            <w:pPr>
              <w:keepNext/>
              <w:keepLines/>
              <w:snapToGrid w:val="0"/>
              <w:spacing w:before="120" w:after="0" w:line="240" w:lineRule="auto"/>
              <w:jc w:val="center"/>
              <w:rPr>
                <w:rFonts w:cs="Calibri"/>
                <w:b/>
                <w:sz w:val="16"/>
                <w:szCs w:val="16"/>
                <w:lang w:val="el-GR"/>
              </w:rPr>
            </w:pPr>
            <w:r w:rsidRPr="00C05BA7">
              <w:rPr>
                <w:rFonts w:cs="Calibri"/>
                <w:b/>
                <w:sz w:val="16"/>
                <w:szCs w:val="16"/>
                <w:lang w:val="el-GR"/>
              </w:rPr>
              <w:t>Αναμενόμενη ημερομηνία για πλήρη εφαρμογή των υπολοίπων μέτρων, κατά περίπτωση</w:t>
            </w:r>
          </w:p>
        </w:tc>
        <w:tc>
          <w:tcPr>
            <w:tcW w:w="684" w:type="pct"/>
            <w:tcBorders>
              <w:top w:val="single" w:sz="4" w:space="0" w:color="auto"/>
              <w:bottom w:val="single" w:sz="4" w:space="0" w:color="auto"/>
            </w:tcBorders>
            <w:shd w:val="clear" w:color="auto" w:fill="D9D9D9"/>
          </w:tcPr>
          <w:p w14:paraId="696752C7" w14:textId="77777777" w:rsidR="00C05BA7" w:rsidRPr="00C05BA7" w:rsidRDefault="00C05BA7" w:rsidP="00C05BA7">
            <w:pPr>
              <w:keepNext/>
              <w:keepLines/>
              <w:snapToGrid w:val="0"/>
              <w:spacing w:before="120" w:after="0" w:line="240" w:lineRule="auto"/>
              <w:jc w:val="center"/>
              <w:rPr>
                <w:rFonts w:cs="Calibri"/>
                <w:b/>
                <w:sz w:val="16"/>
                <w:szCs w:val="16"/>
              </w:rPr>
            </w:pPr>
            <w:r w:rsidRPr="00C05BA7">
              <w:rPr>
                <w:rFonts w:cs="Calibri"/>
                <w:b/>
                <w:sz w:val="16"/>
                <w:szCs w:val="16"/>
              </w:rPr>
              <w:t>Σχολιασμός</w:t>
            </w:r>
          </w:p>
          <w:p w14:paraId="3BDF7BD4" w14:textId="77777777" w:rsidR="00C05BA7" w:rsidRPr="00C05BA7" w:rsidRDefault="00C05BA7" w:rsidP="00C05BA7">
            <w:pPr>
              <w:keepNext/>
              <w:keepLines/>
              <w:snapToGrid w:val="0"/>
              <w:spacing w:after="0" w:line="240" w:lineRule="auto"/>
              <w:jc w:val="center"/>
              <w:rPr>
                <w:rFonts w:cs="Calibri"/>
                <w:b/>
                <w:sz w:val="16"/>
                <w:szCs w:val="16"/>
              </w:rPr>
            </w:pPr>
            <w:r w:rsidRPr="00C05BA7">
              <w:rPr>
                <w:rFonts w:cs="Calibri"/>
                <w:b/>
                <w:sz w:val="16"/>
                <w:szCs w:val="16"/>
              </w:rPr>
              <w:t>(για κάθε μέτρο)</w:t>
            </w:r>
          </w:p>
        </w:tc>
      </w:tr>
      <w:tr w:rsidR="00C05BA7" w:rsidRPr="00F77DB3" w14:paraId="07AAE192" w14:textId="77777777" w:rsidTr="00C05BA7">
        <w:trPr>
          <w:trHeight w:val="493"/>
          <w:tblHeader/>
          <w:jc w:val="center"/>
        </w:trPr>
        <w:tc>
          <w:tcPr>
            <w:tcW w:w="473" w:type="pct"/>
            <w:tcBorders>
              <w:top w:val="single" w:sz="4" w:space="0" w:color="auto"/>
              <w:bottom w:val="single" w:sz="4" w:space="0" w:color="auto"/>
            </w:tcBorders>
            <w:shd w:val="clear" w:color="auto" w:fill="auto"/>
          </w:tcPr>
          <w:p w14:paraId="5CC4D742" w14:textId="77777777" w:rsidR="00C05BA7" w:rsidRPr="00C05BA7" w:rsidRDefault="00C05BA7" w:rsidP="00C05BA7">
            <w:pPr>
              <w:keepNext/>
              <w:keepLines/>
              <w:snapToGrid w:val="0"/>
              <w:spacing w:before="120" w:after="0" w:line="240" w:lineRule="auto"/>
              <w:jc w:val="center"/>
              <w:rPr>
                <w:rFonts w:cs="Calibri"/>
                <w:sz w:val="16"/>
                <w:szCs w:val="16"/>
                <w:lang w:val="el-GR"/>
              </w:rPr>
            </w:pPr>
            <w:r w:rsidRPr="00C05BA7">
              <w:rPr>
                <w:rFonts w:cs="Calibri"/>
                <w:sz w:val="16"/>
                <w:szCs w:val="16"/>
                <w:lang w:val="el-GR"/>
              </w:rPr>
              <w:t>1</w:t>
            </w:r>
          </w:p>
        </w:tc>
        <w:tc>
          <w:tcPr>
            <w:tcW w:w="521" w:type="pct"/>
            <w:tcBorders>
              <w:top w:val="single" w:sz="4" w:space="0" w:color="auto"/>
            </w:tcBorders>
            <w:shd w:val="clear" w:color="auto" w:fill="auto"/>
          </w:tcPr>
          <w:p w14:paraId="0682E9AE" w14:textId="77777777" w:rsidR="00C05BA7" w:rsidRPr="00C05BA7" w:rsidRDefault="00C05BA7" w:rsidP="00C05BA7">
            <w:pPr>
              <w:keepNext/>
              <w:keepLines/>
              <w:snapToGrid w:val="0"/>
              <w:spacing w:before="120" w:after="0" w:line="240" w:lineRule="auto"/>
              <w:rPr>
                <w:rFonts w:cs="Calibri"/>
                <w:sz w:val="16"/>
                <w:szCs w:val="16"/>
                <w:lang w:val="el-GR"/>
              </w:rPr>
            </w:pPr>
            <w:r w:rsidRPr="00C05BA7">
              <w:rPr>
                <w:rFonts w:cs="Calibri"/>
                <w:sz w:val="16"/>
                <w:szCs w:val="16"/>
                <w:lang w:val="el-GR"/>
              </w:rPr>
              <w:t>1 - Η έκθεση συντάσσεται σύμφωνα με τις κοινές κατευθυντήριες γραμμές της Επιτροπής</w:t>
            </w:r>
          </w:p>
        </w:tc>
        <w:tc>
          <w:tcPr>
            <w:tcW w:w="1280" w:type="pct"/>
            <w:tcBorders>
              <w:top w:val="single" w:sz="4" w:space="0" w:color="auto"/>
            </w:tcBorders>
            <w:shd w:val="clear" w:color="auto" w:fill="auto"/>
          </w:tcPr>
          <w:p w14:paraId="674B5E7F" w14:textId="77777777" w:rsidR="00C05BA7" w:rsidRPr="00C05BA7" w:rsidRDefault="00C05BA7" w:rsidP="00C05BA7">
            <w:pPr>
              <w:keepNext/>
              <w:keepLines/>
              <w:snapToGrid w:val="0"/>
              <w:spacing w:before="120" w:after="0" w:line="240" w:lineRule="auto"/>
              <w:rPr>
                <w:rFonts w:cs="Calibri"/>
                <w:sz w:val="16"/>
                <w:szCs w:val="16"/>
                <w:lang w:val="el-GR"/>
              </w:rPr>
            </w:pPr>
            <w:r w:rsidRPr="00C05BA7">
              <w:rPr>
                <w:rFonts w:cs="Calibri"/>
                <w:sz w:val="16"/>
                <w:szCs w:val="16"/>
                <w:lang w:val="el-GR"/>
              </w:rPr>
              <w:t>Η Κύπρος αξιολογήθηκε ότι καλύπτει μερικώς την εκ των προτέρων αιρεσιμότητα σχετικά με την έκθεση αλιευτικής ικανότητας. Ως εκ τούτου, δεσμεύεται να υιοθετήσει σχέδιο δράσης (Συνημμένο 11), βάσει του οποίου οι Κυπριακές αρχές δεσμεύονται να υποβάλουν έκθεση αλιευτικής ικανότητας για το 2014 μέχρι τις 31 Μαΐου 2015, με τη συμπερίληψη των ακόλουθων: α) ολοκλήρωση της ανάλυσης που έγινε στην έκθεση του 2013, με συμπερίληψη κατηγοριών στόλου τράτας που αλιεύουν αποκλειστικά στα διεθνή ύδατα, β) εξήγηση οποιασδήποτε φετινής και περσινής ανακολουθίας στον αριθμό σκαφών μεταξύ έκθεσης αλιευτικής ικανότητας, μητρώου αλιευτικών σκαφών και Ετήσιας Οικονομικής Έκθεσης, γ) καλύτερη διάκριση μεταξύ των κατηγοριών σκαφών με πολυδύναμα αδρανή εργαλεία μήκους 06-12m (κατηγορίες αδειών Α και Β) και 00-06 m (κατηγορίες αδειών Γ), δ) εξήγηση μεθοδολογίας εκτίμησης του αριθμού των σκαφών προς απόσυρση και ε) ετοιμασία σχεδίων δράσης για τις κατηγορίες στόλου χωρίς ισορροπία με τις αλιευτικές δυνατότητες.</w:t>
            </w:r>
          </w:p>
        </w:tc>
        <w:tc>
          <w:tcPr>
            <w:tcW w:w="426" w:type="pct"/>
            <w:tcBorders>
              <w:top w:val="single" w:sz="4" w:space="0" w:color="auto"/>
            </w:tcBorders>
            <w:shd w:val="clear" w:color="auto" w:fill="auto"/>
          </w:tcPr>
          <w:p w14:paraId="5175275F" w14:textId="77777777" w:rsidR="00C05BA7" w:rsidRPr="00C05BA7" w:rsidRDefault="00C05BA7" w:rsidP="00C05BA7">
            <w:pPr>
              <w:keepNext/>
              <w:keepLines/>
              <w:snapToGrid w:val="0"/>
              <w:spacing w:before="120" w:after="0" w:line="240" w:lineRule="auto"/>
              <w:jc w:val="center"/>
              <w:rPr>
                <w:rFonts w:cs="Calibri"/>
                <w:sz w:val="16"/>
                <w:szCs w:val="16"/>
                <w:lang w:val="el-GR"/>
              </w:rPr>
            </w:pPr>
            <w:r w:rsidRPr="00C05BA7">
              <w:rPr>
                <w:rFonts w:cs="Calibri"/>
                <w:sz w:val="16"/>
                <w:szCs w:val="16"/>
                <w:lang w:val="el-GR"/>
              </w:rPr>
              <w:t>31 Μαΐ</w:t>
            </w:r>
            <w:r>
              <w:rPr>
                <w:rFonts w:cs="Calibri"/>
                <w:sz w:val="16"/>
                <w:szCs w:val="16"/>
                <w:lang w:val="el-GR"/>
              </w:rPr>
              <w:t>ου</w:t>
            </w:r>
            <w:r w:rsidRPr="00C05BA7">
              <w:rPr>
                <w:rFonts w:cs="Calibri"/>
                <w:sz w:val="16"/>
                <w:szCs w:val="16"/>
                <w:lang w:val="el-GR"/>
              </w:rPr>
              <w:t xml:space="preserve"> 2015</w:t>
            </w:r>
          </w:p>
        </w:tc>
        <w:tc>
          <w:tcPr>
            <w:tcW w:w="427" w:type="pct"/>
            <w:tcBorders>
              <w:top w:val="single" w:sz="4" w:space="0" w:color="auto"/>
            </w:tcBorders>
            <w:shd w:val="clear" w:color="auto" w:fill="auto"/>
          </w:tcPr>
          <w:p w14:paraId="16743D4F" w14:textId="77777777" w:rsidR="00C05BA7" w:rsidRPr="00C05BA7" w:rsidRDefault="00C05BA7" w:rsidP="00C05BA7">
            <w:pPr>
              <w:keepNext/>
              <w:keepLines/>
              <w:snapToGrid w:val="0"/>
              <w:spacing w:before="120" w:after="0" w:line="240" w:lineRule="auto"/>
              <w:jc w:val="center"/>
              <w:rPr>
                <w:rFonts w:cs="Calibri"/>
                <w:sz w:val="16"/>
                <w:szCs w:val="16"/>
                <w:lang w:val="el-GR"/>
              </w:rPr>
            </w:pPr>
            <w:r w:rsidRPr="00C05BA7">
              <w:rPr>
                <w:rFonts w:cs="Calibri"/>
                <w:sz w:val="16"/>
                <w:szCs w:val="16"/>
                <w:lang w:val="el-GR"/>
              </w:rPr>
              <w:t>Τμήμα Αλιείας και</w:t>
            </w:r>
            <w:r>
              <w:rPr>
                <w:rFonts w:cs="Calibri"/>
                <w:sz w:val="16"/>
                <w:szCs w:val="16"/>
                <w:lang w:val="el-GR"/>
              </w:rPr>
              <w:t xml:space="preserve"> </w:t>
            </w:r>
            <w:r w:rsidRPr="00C05BA7">
              <w:rPr>
                <w:rFonts w:cs="Calibri"/>
                <w:sz w:val="16"/>
                <w:szCs w:val="16"/>
                <w:lang w:val="el-GR"/>
              </w:rPr>
              <w:t>Θαλασσίων Ερευνών</w:t>
            </w:r>
          </w:p>
        </w:tc>
        <w:tc>
          <w:tcPr>
            <w:tcW w:w="380" w:type="pct"/>
            <w:tcBorders>
              <w:top w:val="single" w:sz="4" w:space="0" w:color="auto"/>
            </w:tcBorders>
            <w:shd w:val="clear" w:color="auto" w:fill="auto"/>
          </w:tcPr>
          <w:p w14:paraId="0460B25B" w14:textId="77777777" w:rsidR="00C05BA7" w:rsidRPr="00C05BA7" w:rsidRDefault="00C05BA7" w:rsidP="00C05BA7">
            <w:pPr>
              <w:keepNext/>
              <w:keepLines/>
              <w:snapToGrid w:val="0"/>
              <w:spacing w:before="120" w:after="0" w:line="240" w:lineRule="auto"/>
              <w:jc w:val="center"/>
              <w:rPr>
                <w:rFonts w:cs="Calibri"/>
                <w:sz w:val="16"/>
                <w:szCs w:val="16"/>
                <w:lang w:val="el-GR"/>
              </w:rPr>
            </w:pPr>
            <w:r w:rsidRPr="00C05BA7">
              <w:rPr>
                <w:rFonts w:cs="Calibri"/>
                <w:sz w:val="16"/>
                <w:szCs w:val="16"/>
                <w:lang w:val="el-GR"/>
              </w:rPr>
              <w:t>Ναι</w:t>
            </w:r>
          </w:p>
        </w:tc>
        <w:tc>
          <w:tcPr>
            <w:tcW w:w="336" w:type="pct"/>
            <w:tcBorders>
              <w:top w:val="single" w:sz="4" w:space="0" w:color="auto"/>
            </w:tcBorders>
            <w:shd w:val="clear" w:color="auto" w:fill="auto"/>
          </w:tcPr>
          <w:p w14:paraId="0CA6F872" w14:textId="77777777" w:rsidR="00C05BA7" w:rsidRPr="00C05BA7" w:rsidRDefault="00C05BA7" w:rsidP="00C05BA7">
            <w:pPr>
              <w:keepNext/>
              <w:keepLines/>
              <w:snapToGrid w:val="0"/>
              <w:spacing w:before="120" w:after="0" w:line="240" w:lineRule="auto"/>
              <w:jc w:val="center"/>
              <w:rPr>
                <w:rFonts w:cs="Calibri"/>
                <w:sz w:val="16"/>
                <w:szCs w:val="16"/>
                <w:lang w:val="el-GR"/>
              </w:rPr>
            </w:pPr>
            <w:r w:rsidRPr="00C05BA7">
              <w:rPr>
                <w:rFonts w:cs="Calibri"/>
                <w:sz w:val="16"/>
                <w:szCs w:val="16"/>
                <w:lang w:val="el-GR"/>
              </w:rPr>
              <w:t>Ναι</w:t>
            </w:r>
          </w:p>
        </w:tc>
        <w:tc>
          <w:tcPr>
            <w:tcW w:w="473" w:type="pct"/>
            <w:tcBorders>
              <w:top w:val="single" w:sz="4" w:space="0" w:color="auto"/>
            </w:tcBorders>
            <w:shd w:val="clear" w:color="auto" w:fill="auto"/>
          </w:tcPr>
          <w:p w14:paraId="7C95E768" w14:textId="77777777" w:rsidR="00C05BA7" w:rsidRPr="00C05BA7" w:rsidRDefault="00C05BA7" w:rsidP="00C05BA7">
            <w:pPr>
              <w:keepNext/>
              <w:keepLines/>
              <w:snapToGrid w:val="0"/>
              <w:spacing w:before="120" w:after="0" w:line="240" w:lineRule="auto"/>
              <w:jc w:val="center"/>
              <w:rPr>
                <w:rFonts w:cs="Calibri"/>
                <w:sz w:val="16"/>
                <w:szCs w:val="16"/>
                <w:lang w:val="el-GR"/>
              </w:rPr>
            </w:pPr>
          </w:p>
        </w:tc>
        <w:tc>
          <w:tcPr>
            <w:tcW w:w="684" w:type="pct"/>
            <w:tcBorders>
              <w:top w:val="single" w:sz="4" w:space="0" w:color="auto"/>
            </w:tcBorders>
            <w:shd w:val="clear" w:color="auto" w:fill="auto"/>
          </w:tcPr>
          <w:p w14:paraId="1DDB7140" w14:textId="77777777" w:rsidR="00C05BA7" w:rsidRPr="00C05BA7" w:rsidRDefault="00C05BA7" w:rsidP="00C05BA7">
            <w:pPr>
              <w:keepNext/>
              <w:keepLines/>
              <w:snapToGrid w:val="0"/>
              <w:spacing w:before="120" w:after="0" w:line="240" w:lineRule="auto"/>
              <w:rPr>
                <w:rFonts w:cs="Calibri"/>
                <w:sz w:val="16"/>
                <w:szCs w:val="16"/>
                <w:lang w:val="el-GR"/>
              </w:rPr>
            </w:pPr>
            <w:r w:rsidRPr="00C05BA7">
              <w:rPr>
                <w:rFonts w:cs="Calibri"/>
                <w:sz w:val="16"/>
                <w:szCs w:val="16"/>
                <w:lang w:val="el-GR"/>
              </w:rPr>
              <w:t>Η έκθεση αλιευτικής ικανότητας για το 2015 υποβλήθηκε εντός του προβλεπόμενου από τη νομοθεσία χρονικού πλαισίου. Στην έκθεση έχουν συμπεριληφθεί όλες οι παρατηρήσεις της Ε</w:t>
            </w:r>
            <w:r w:rsidR="002E17B7">
              <w:rPr>
                <w:rFonts w:cs="Calibri"/>
                <w:sz w:val="16"/>
                <w:szCs w:val="16"/>
                <w:lang w:val="el-GR"/>
              </w:rPr>
              <w:t>υρ</w:t>
            </w:r>
            <w:r w:rsidRPr="00C05BA7">
              <w:rPr>
                <w:rFonts w:cs="Calibri"/>
                <w:sz w:val="16"/>
                <w:szCs w:val="16"/>
                <w:lang w:val="el-GR"/>
              </w:rPr>
              <w:t>. Επιτροπής και έχουν αποφευχθεί τα λάθη της έκθεσης του έτους 2014. Η έκθεση του 2015 έχει ετοιμαστεί με βάση τις κοινές κατευθυντήριες γραμμές [COM(2014)545]. Ως εκ τούτου θεωρείται ότι πλέον έχουν εκπληρωθεί οι όροι και προϋποθέσεις που έχουν τεθεί στο σχέδιο δράσης και καλύπτεται πλήρως η εκ των προτέρων αιρεσιμότητα.</w:t>
            </w:r>
          </w:p>
          <w:p w14:paraId="06947075" w14:textId="77777777" w:rsidR="00C05BA7" w:rsidRPr="00C05BA7" w:rsidRDefault="00C05BA7" w:rsidP="00C05BA7">
            <w:pPr>
              <w:keepNext/>
              <w:keepLines/>
              <w:snapToGrid w:val="0"/>
              <w:spacing w:before="120" w:after="0" w:line="240" w:lineRule="auto"/>
              <w:rPr>
                <w:rFonts w:cs="Calibri"/>
                <w:sz w:val="16"/>
                <w:szCs w:val="16"/>
                <w:lang w:val="el-GR"/>
              </w:rPr>
            </w:pPr>
            <w:r w:rsidRPr="00C05BA7">
              <w:rPr>
                <w:rFonts w:cs="Calibri"/>
                <w:sz w:val="16"/>
                <w:szCs w:val="16"/>
                <w:lang w:val="el-GR"/>
              </w:rPr>
              <w:t>Επιπρόσθετα έχει σταλεί και σχετική επιστολή από τις αρμόδιες αρχές της Κυπριακής Δημοκρατίας, μέσω SFC για την εκπλήρωση της εκ των προτέρων αιρεσιμότητας.</w:t>
            </w:r>
          </w:p>
        </w:tc>
      </w:tr>
    </w:tbl>
    <w:p w14:paraId="419C3FD5" w14:textId="77777777" w:rsidR="00C05BA7" w:rsidRDefault="00C05BA7" w:rsidP="00537901">
      <w:pPr>
        <w:rPr>
          <w:lang w:val="el-GR"/>
        </w:rPr>
      </w:pPr>
    </w:p>
    <w:p w14:paraId="2249A526" w14:textId="77777777" w:rsidR="00C05BA7" w:rsidRDefault="00C05BA7" w:rsidP="00537901">
      <w:pPr>
        <w:rPr>
          <w:lang w:val="el-GR"/>
        </w:rPr>
        <w:sectPr w:rsidR="00C05BA7" w:rsidSect="00C74D51">
          <w:pgSz w:w="15840" w:h="12240" w:orient="landscape" w:code="1"/>
          <w:pgMar w:top="1134" w:right="1418" w:bottom="1134" w:left="1418" w:header="454" w:footer="454" w:gutter="0"/>
          <w:cols w:space="708"/>
          <w:docGrid w:linePitch="360"/>
        </w:sectPr>
      </w:pPr>
    </w:p>
    <w:p w14:paraId="7E516351" w14:textId="77777777" w:rsidR="00C05BA7" w:rsidRDefault="00C05BA7" w:rsidP="00537901">
      <w:pPr>
        <w:rPr>
          <w:lang w:val="el-GR"/>
        </w:rPr>
      </w:pPr>
    </w:p>
    <w:p w14:paraId="135C0354" w14:textId="77777777" w:rsidR="00537901" w:rsidRPr="00537901" w:rsidRDefault="00537901" w:rsidP="001D583B">
      <w:pPr>
        <w:pStyle w:val="Heading1"/>
        <w:numPr>
          <w:ilvl w:val="0"/>
          <w:numId w:val="7"/>
        </w:numPr>
        <w:ind w:left="426"/>
        <w:rPr>
          <w:rFonts w:ascii="Calibri" w:hAnsi="Calibri"/>
          <w:lang w:val="el-GR"/>
        </w:rPr>
      </w:pPr>
      <w:bookmarkStart w:id="25" w:name="_Toc483572192"/>
      <w:r w:rsidRPr="00537901">
        <w:rPr>
          <w:rFonts w:ascii="Calibri" w:hAnsi="Calibri"/>
          <w:caps/>
          <w:smallCaps w:val="0"/>
          <w:lang w:val="el-GR"/>
        </w:rPr>
        <w:t>Εφαρμογή των μηχανισμών για τη διασφάλιση του συντονισμού μεταξύ των ΕΔΕΤ και άλλων ενωσιακών και εθνικών μέσων χρηματοοικονομικής τεχνικής (χρηματοδοτικών μέσων) και με την Ευρω</w:t>
      </w:r>
      <w:r>
        <w:rPr>
          <w:rFonts w:ascii="Calibri" w:hAnsi="Calibri"/>
          <w:caps/>
          <w:smallCaps w:val="0"/>
          <w:lang w:val="el-GR"/>
        </w:rPr>
        <w:t>παϊκή Τράπεζα Επενδύσεων (ΕΤΕπ)</w:t>
      </w:r>
      <w:bookmarkEnd w:id="25"/>
    </w:p>
    <w:p w14:paraId="4BF86C61" w14:textId="77777777" w:rsidR="00537901" w:rsidRPr="00422E9E" w:rsidRDefault="00876718" w:rsidP="00752536">
      <w:pPr>
        <w:jc w:val="both"/>
        <w:rPr>
          <w:b/>
          <w:i/>
          <w:lang w:val="el-GR"/>
        </w:rPr>
      </w:pPr>
      <w:r w:rsidRPr="00422E9E">
        <w:rPr>
          <w:b/>
          <w:i/>
          <w:lang w:val="el-GR"/>
        </w:rPr>
        <w:t>α) Αξιολόγηση της εφαρμογής των μηχανισμών συντονισμού που καθορίζονται στο σύμφωνο εταιρικής σχέσης και, κατά περίπτωση, τυχόν προβλημάτων που προέκυψαν κατά την εφαρμογή τους.</w:t>
      </w:r>
    </w:p>
    <w:p w14:paraId="1462AE4A" w14:textId="6C749D46" w:rsidR="00EB24DE" w:rsidRDefault="00EB24DE" w:rsidP="005779A6">
      <w:pPr>
        <w:jc w:val="both"/>
        <w:rPr>
          <w:rFonts w:cs="Calibri"/>
          <w:lang w:val="el-GR"/>
        </w:rPr>
      </w:pPr>
      <w:r>
        <w:rPr>
          <w:rFonts w:cs="Calibri"/>
          <w:lang w:val="el-GR"/>
        </w:rPr>
        <w:t xml:space="preserve">Ο συντονισμός </w:t>
      </w:r>
      <w:r w:rsidRPr="00EB24DE">
        <w:rPr>
          <w:rFonts w:cs="Calibri"/>
          <w:lang w:val="el-GR"/>
        </w:rPr>
        <w:t>μεταξύ των Διαρθρωτικών Ταμείων (ΕΤΠΑ, ΕΚΤ), του Ταμείου Συνοχής (ΤΣ), του ΕΓΤΑΑ, του ΕΤΘΑ</w:t>
      </w:r>
      <w:r>
        <w:rPr>
          <w:rFonts w:cs="Calibri"/>
          <w:lang w:val="el-GR"/>
        </w:rPr>
        <w:t xml:space="preserve"> και των λοιπών </w:t>
      </w:r>
      <w:r w:rsidRPr="00EB24DE">
        <w:rPr>
          <w:rFonts w:cs="Calibri"/>
          <w:lang w:val="el-GR"/>
        </w:rPr>
        <w:t>κοινοτικών και εθνικών χρηματοδοτικών μέσων</w:t>
      </w:r>
      <w:r>
        <w:rPr>
          <w:rFonts w:cs="Calibri"/>
          <w:lang w:val="el-GR"/>
        </w:rPr>
        <w:t xml:space="preserve"> αποτέλεσε και συνεχίζει να αποτελεί αντικείμενο </w:t>
      </w:r>
      <w:bookmarkStart w:id="26" w:name="_Hlk487781860"/>
      <w:r>
        <w:rPr>
          <w:rFonts w:cs="Calibri"/>
          <w:lang w:val="el-GR"/>
        </w:rPr>
        <w:t xml:space="preserve">στενής συνεργασίας και διαβούλευσης μεταξύ </w:t>
      </w:r>
      <w:r w:rsidRPr="00EB24DE">
        <w:rPr>
          <w:rFonts w:cs="Calibri"/>
          <w:lang w:val="el-GR"/>
        </w:rPr>
        <w:t xml:space="preserve">της </w:t>
      </w:r>
      <w:r w:rsidR="00422E9E" w:rsidRPr="00422E9E">
        <w:rPr>
          <w:rFonts w:cs="Calibri"/>
          <w:lang w:val="el-GR"/>
        </w:rPr>
        <w:t>Γενική</w:t>
      </w:r>
      <w:r w:rsidR="00422E9E">
        <w:rPr>
          <w:rFonts w:cs="Calibri"/>
          <w:lang w:val="el-GR"/>
        </w:rPr>
        <w:t>ς</w:t>
      </w:r>
      <w:r w:rsidR="00422E9E" w:rsidRPr="00422E9E">
        <w:rPr>
          <w:rFonts w:cs="Calibri"/>
          <w:lang w:val="el-GR"/>
        </w:rPr>
        <w:t xml:space="preserve"> Διεύθυνση</w:t>
      </w:r>
      <w:r w:rsidR="00422E9E">
        <w:rPr>
          <w:rFonts w:cs="Calibri"/>
          <w:lang w:val="el-GR"/>
        </w:rPr>
        <w:t>ς</w:t>
      </w:r>
      <w:r w:rsidR="00422E9E" w:rsidRPr="00422E9E">
        <w:rPr>
          <w:rFonts w:cs="Calibri"/>
          <w:lang w:val="el-GR"/>
        </w:rPr>
        <w:t xml:space="preserve"> Ευρωπαϊκών Προγραμμάτων, Συντονισμού και Ανάπτυξης </w:t>
      </w:r>
      <w:r w:rsidR="00422E9E">
        <w:rPr>
          <w:rFonts w:cs="Calibri"/>
          <w:lang w:val="el-GR"/>
        </w:rPr>
        <w:t>(</w:t>
      </w:r>
      <w:r w:rsidRPr="00EB24DE">
        <w:rPr>
          <w:rFonts w:cs="Calibri"/>
          <w:lang w:val="el-GR"/>
        </w:rPr>
        <w:t>ΓΔ ΕΠΣΑ</w:t>
      </w:r>
      <w:r w:rsidR="00422E9E">
        <w:rPr>
          <w:rFonts w:cs="Calibri"/>
          <w:lang w:val="el-GR"/>
        </w:rPr>
        <w:t>)</w:t>
      </w:r>
      <w:r w:rsidRPr="00EB24DE">
        <w:rPr>
          <w:rFonts w:cs="Calibri"/>
          <w:lang w:val="el-GR"/>
        </w:rPr>
        <w:t xml:space="preserve"> και του Υπουργείου Γεωργίας, </w:t>
      </w:r>
      <w:r w:rsidR="008F0453">
        <w:rPr>
          <w:rFonts w:cs="Calibri"/>
          <w:lang w:val="el-GR"/>
        </w:rPr>
        <w:t>Αγροτικής Ανάπτυξης</w:t>
      </w:r>
      <w:r w:rsidRPr="00EB24DE">
        <w:rPr>
          <w:rFonts w:cs="Calibri"/>
          <w:lang w:val="el-GR"/>
        </w:rPr>
        <w:t xml:space="preserve"> και Περιβάλλοντος</w:t>
      </w:r>
      <w:r w:rsidR="008F0453">
        <w:rPr>
          <w:rFonts w:cs="Calibri"/>
          <w:lang w:val="el-GR"/>
        </w:rPr>
        <w:t xml:space="preserve"> (ΥΓΑΑΠ), ως</w:t>
      </w:r>
      <w:r w:rsidRPr="00EB24DE">
        <w:rPr>
          <w:rFonts w:cs="Calibri"/>
          <w:lang w:val="el-GR"/>
        </w:rPr>
        <w:t xml:space="preserve"> Διαχειριστικές Αρχές </w:t>
      </w:r>
      <w:r w:rsidR="008F0453">
        <w:rPr>
          <w:rFonts w:cs="Calibri"/>
          <w:lang w:val="el-GR"/>
        </w:rPr>
        <w:t>των 4 Επιχειρησιακών Προγραμμάτων (ΕΠ) που καταρτίστηκαν για αξιοποίηση των πόρων που κατανεμήθηκαν στην Κύπρο από τα ΕΔΕΤ 2014-2020,</w:t>
      </w:r>
      <w:bookmarkEnd w:id="26"/>
      <w:r>
        <w:rPr>
          <w:rFonts w:cs="Calibri"/>
          <w:lang w:val="el-GR"/>
        </w:rPr>
        <w:t xml:space="preserve"> τόσο κατά το στάδιο κατάρτισης όσο και </w:t>
      </w:r>
      <w:r w:rsidR="00422E9E">
        <w:rPr>
          <w:rFonts w:cs="Calibri"/>
          <w:lang w:val="el-GR"/>
        </w:rPr>
        <w:t xml:space="preserve">κατά </w:t>
      </w:r>
      <w:r>
        <w:rPr>
          <w:rFonts w:cs="Calibri"/>
          <w:lang w:val="el-GR"/>
        </w:rPr>
        <w:t>την πορεία υλοποίησης των ΕΠ .</w:t>
      </w:r>
    </w:p>
    <w:p w14:paraId="28C519B0" w14:textId="3534DBF3" w:rsidR="00692D56" w:rsidRDefault="00EB24DE" w:rsidP="005779A6">
      <w:pPr>
        <w:jc w:val="both"/>
        <w:rPr>
          <w:rFonts w:cs="Calibri"/>
          <w:lang w:val="el-GR"/>
        </w:rPr>
      </w:pPr>
      <w:r w:rsidRPr="00EB24DE">
        <w:rPr>
          <w:rFonts w:cs="Calibri"/>
          <w:lang w:val="el-GR"/>
        </w:rPr>
        <w:t xml:space="preserve">Ο κεντρικός συντονισμός ανήκει στη </w:t>
      </w:r>
      <w:r w:rsidR="00422E9E">
        <w:rPr>
          <w:rFonts w:cs="Calibri"/>
          <w:lang w:val="el-GR"/>
        </w:rPr>
        <w:t>ΓΔ ΕΠΣΑ</w:t>
      </w:r>
      <w:r w:rsidRPr="00EB24DE">
        <w:rPr>
          <w:rFonts w:cs="Calibri"/>
          <w:lang w:val="el-GR"/>
        </w:rPr>
        <w:t xml:space="preserve">, </w:t>
      </w:r>
      <w:r w:rsidR="00970BB1">
        <w:rPr>
          <w:rFonts w:cs="Calibri"/>
          <w:lang w:val="el-GR"/>
        </w:rPr>
        <w:t>η οποία</w:t>
      </w:r>
      <w:r w:rsidRPr="00EB24DE">
        <w:rPr>
          <w:rFonts w:cs="Calibri"/>
          <w:lang w:val="el-GR"/>
        </w:rPr>
        <w:t xml:space="preserve"> ως Εθνική Αρχή Προγραμματισμού μεριμνά, μεταξύ άλλων, για ομογενοποιημένες διαδικασίες προκηρύξεων, τυποποιημένα κριτήρια, ενιαία και συντονισμένη επικοινωνία, βελτιστοποίηση του υπάρχοντος </w:t>
      </w:r>
      <w:r w:rsidR="00422E9E">
        <w:rPr>
          <w:rFonts w:cs="Calibri"/>
          <w:lang w:val="el-GR"/>
        </w:rPr>
        <w:t>Πληροφοριακού Συστήματος (</w:t>
      </w:r>
      <w:r w:rsidRPr="00EB24DE">
        <w:rPr>
          <w:rFonts w:cs="Calibri"/>
          <w:lang w:val="el-GR"/>
        </w:rPr>
        <w:t>ΟΠΣ</w:t>
      </w:r>
      <w:r w:rsidR="00422E9E">
        <w:rPr>
          <w:rFonts w:cs="Calibri"/>
          <w:lang w:val="el-GR"/>
        </w:rPr>
        <w:t>)</w:t>
      </w:r>
      <w:r w:rsidRPr="00EB24DE">
        <w:rPr>
          <w:rFonts w:cs="Calibri"/>
          <w:lang w:val="el-GR"/>
        </w:rPr>
        <w:t xml:space="preserve">, παρακολούθηση του πλαισίου επίδοσης και </w:t>
      </w:r>
      <w:r w:rsidR="00422E9E">
        <w:rPr>
          <w:rFonts w:cs="Calibri"/>
          <w:lang w:val="el-GR"/>
        </w:rPr>
        <w:t>διενέργεια επαφών</w:t>
      </w:r>
      <w:r w:rsidRPr="00EB24DE">
        <w:rPr>
          <w:rFonts w:cs="Calibri"/>
          <w:lang w:val="el-GR"/>
        </w:rPr>
        <w:t xml:space="preserve"> με την ΕΕ και την ΕτΕΠ.</w:t>
      </w:r>
    </w:p>
    <w:p w14:paraId="2C772F62" w14:textId="47E6C7CD" w:rsidR="00692D56" w:rsidRDefault="00692D56" w:rsidP="005779A6">
      <w:pPr>
        <w:jc w:val="both"/>
        <w:rPr>
          <w:rFonts w:cs="Calibri"/>
          <w:lang w:val="el-GR"/>
        </w:rPr>
      </w:pPr>
      <w:r w:rsidRPr="00BD10FE">
        <w:rPr>
          <w:rFonts w:cs="Calibri"/>
          <w:b/>
          <w:lang w:val="el-GR"/>
        </w:rPr>
        <w:t>Στο επίπεδο</w:t>
      </w:r>
      <w:r>
        <w:rPr>
          <w:rFonts w:cs="Calibri"/>
          <w:lang w:val="el-GR"/>
        </w:rPr>
        <w:t xml:space="preserve"> </w:t>
      </w:r>
      <w:r w:rsidRPr="0070570C">
        <w:rPr>
          <w:rFonts w:cs="Calibri"/>
          <w:b/>
          <w:lang w:val="el-GR"/>
        </w:rPr>
        <w:t xml:space="preserve">του </w:t>
      </w:r>
      <w:r w:rsidR="005D02F0" w:rsidRPr="0070570C">
        <w:rPr>
          <w:rFonts w:cs="Calibri"/>
          <w:b/>
          <w:lang w:val="el-GR"/>
        </w:rPr>
        <w:t xml:space="preserve">γενικού </w:t>
      </w:r>
      <w:r w:rsidRPr="0070570C">
        <w:rPr>
          <w:rFonts w:cs="Calibri"/>
          <w:b/>
          <w:lang w:val="el-GR"/>
        </w:rPr>
        <w:t>συντονισμού</w:t>
      </w:r>
      <w:r>
        <w:rPr>
          <w:rFonts w:cs="Calibri"/>
          <w:lang w:val="el-GR"/>
        </w:rPr>
        <w:t xml:space="preserve"> </w:t>
      </w:r>
      <w:r w:rsidRPr="0070570C">
        <w:rPr>
          <w:rFonts w:cs="Calibri"/>
          <w:b/>
          <w:lang w:val="el-GR"/>
        </w:rPr>
        <w:t xml:space="preserve">μεταξύ των επιμέρους </w:t>
      </w:r>
      <w:r w:rsidR="008F0453">
        <w:rPr>
          <w:rFonts w:cs="Calibri"/>
          <w:b/>
          <w:lang w:val="el-GR"/>
        </w:rPr>
        <w:t>ΕΠ</w:t>
      </w:r>
      <w:r>
        <w:rPr>
          <w:rFonts w:cs="Calibri"/>
          <w:lang w:val="el-GR"/>
        </w:rPr>
        <w:t xml:space="preserve"> κρίσιμη είναι η:</w:t>
      </w:r>
    </w:p>
    <w:p w14:paraId="73619026" w14:textId="0A557CB9" w:rsidR="00692D56" w:rsidRDefault="00692D56" w:rsidP="001D583B">
      <w:pPr>
        <w:numPr>
          <w:ilvl w:val="0"/>
          <w:numId w:val="27"/>
        </w:numPr>
        <w:jc w:val="both"/>
        <w:rPr>
          <w:rFonts w:cs="Calibri"/>
          <w:lang w:val="el-GR"/>
        </w:rPr>
      </w:pPr>
      <w:r>
        <w:rPr>
          <w:rFonts w:cs="Calibri"/>
          <w:lang w:val="el-GR"/>
        </w:rPr>
        <w:t xml:space="preserve">συγκρότηση </w:t>
      </w:r>
      <w:r w:rsidR="005D02F0">
        <w:rPr>
          <w:rFonts w:cs="Calibri"/>
          <w:lang w:val="el-GR"/>
        </w:rPr>
        <w:t>κ</w:t>
      </w:r>
      <w:r>
        <w:rPr>
          <w:rFonts w:cs="Calibri"/>
          <w:lang w:val="el-GR"/>
        </w:rPr>
        <w:t xml:space="preserve">οινής Επιτροπής Παρακολούθησης των </w:t>
      </w:r>
      <w:bookmarkStart w:id="27" w:name="_Hlk487781707"/>
      <w:r>
        <w:rPr>
          <w:rFonts w:cs="Calibri"/>
          <w:lang w:val="el-GR"/>
        </w:rPr>
        <w:t xml:space="preserve">ΕΠ </w:t>
      </w:r>
      <w:r w:rsidRPr="00692D56">
        <w:rPr>
          <w:rFonts w:cs="Calibri"/>
          <w:lang w:val="el-GR"/>
        </w:rPr>
        <w:t xml:space="preserve">«Ανταγωνιστικότητα και </w:t>
      </w:r>
      <w:r w:rsidR="00422E9E">
        <w:rPr>
          <w:rFonts w:cs="Calibri"/>
          <w:lang w:val="el-GR"/>
        </w:rPr>
        <w:t>Α</w:t>
      </w:r>
      <w:r w:rsidRPr="00692D56">
        <w:rPr>
          <w:rFonts w:cs="Calibri"/>
          <w:lang w:val="el-GR"/>
        </w:rPr>
        <w:t>ειφόρος Ανάπτυξη»</w:t>
      </w:r>
      <w:r>
        <w:rPr>
          <w:rFonts w:cs="Calibri"/>
          <w:lang w:val="el-GR"/>
        </w:rPr>
        <w:t xml:space="preserve"> και</w:t>
      </w:r>
      <w:r w:rsidRPr="00692D56">
        <w:rPr>
          <w:rFonts w:cs="Calibri"/>
          <w:lang w:val="el-GR"/>
        </w:rPr>
        <w:t xml:space="preserve"> «Απασχόληση, Ανθρώπινοι Πόροι και Κοινωνική Συνοχή», </w:t>
      </w:r>
      <w:bookmarkEnd w:id="27"/>
    </w:p>
    <w:p w14:paraId="7992F04B" w14:textId="77B018C1" w:rsidR="00692D56" w:rsidRPr="00486EC5" w:rsidRDefault="00692D56" w:rsidP="00486EC5">
      <w:pPr>
        <w:numPr>
          <w:ilvl w:val="0"/>
          <w:numId w:val="27"/>
        </w:numPr>
        <w:jc w:val="both"/>
        <w:rPr>
          <w:rFonts w:cs="Calibri"/>
          <w:lang w:val="el-GR"/>
        </w:rPr>
      </w:pPr>
      <w:r>
        <w:rPr>
          <w:rFonts w:cs="Calibri"/>
          <w:lang w:val="el-GR"/>
        </w:rPr>
        <w:t xml:space="preserve">θέσπιση </w:t>
      </w:r>
      <w:r w:rsidR="008F0453">
        <w:rPr>
          <w:rFonts w:cs="Calibri"/>
          <w:lang w:val="el-GR"/>
        </w:rPr>
        <w:t>ε</w:t>
      </w:r>
      <w:r>
        <w:rPr>
          <w:rFonts w:cs="Calibri"/>
          <w:lang w:val="el-GR"/>
        </w:rPr>
        <w:t xml:space="preserve">νιαίου Συστήματος Διαχείρισης και Ελέγχου </w:t>
      </w:r>
      <w:r w:rsidR="008F0453">
        <w:rPr>
          <w:rFonts w:cs="Calibri"/>
          <w:lang w:val="el-GR"/>
        </w:rPr>
        <w:t>και ενιαίου Πληροφοριακού Συστήματος για τα</w:t>
      </w:r>
      <w:bookmarkStart w:id="28" w:name="_Hlk487781784"/>
      <w:r>
        <w:rPr>
          <w:rFonts w:cs="Calibri"/>
          <w:lang w:val="el-GR"/>
        </w:rPr>
        <w:t xml:space="preserve"> </w:t>
      </w:r>
      <w:r w:rsidRPr="00692D56">
        <w:rPr>
          <w:rFonts w:cs="Calibri"/>
          <w:lang w:val="el-GR"/>
        </w:rPr>
        <w:t xml:space="preserve">ΕΠ «Ανταγωνιστικότητα και </w:t>
      </w:r>
      <w:r w:rsidR="00422E9E">
        <w:rPr>
          <w:rFonts w:cs="Calibri"/>
          <w:lang w:val="el-GR"/>
        </w:rPr>
        <w:t>Α</w:t>
      </w:r>
      <w:r w:rsidRPr="00692D56">
        <w:rPr>
          <w:rFonts w:cs="Calibri"/>
          <w:lang w:val="el-GR"/>
        </w:rPr>
        <w:t>ειφόρος Ανάπτυξη»</w:t>
      </w:r>
      <w:r>
        <w:rPr>
          <w:rFonts w:cs="Calibri"/>
          <w:lang w:val="el-GR"/>
        </w:rPr>
        <w:t>,</w:t>
      </w:r>
      <w:r w:rsidRPr="00692D56">
        <w:rPr>
          <w:rFonts w:cs="Calibri"/>
          <w:lang w:val="el-GR"/>
        </w:rPr>
        <w:t xml:space="preserve"> «Απασχόληση, Ανθρώπινοι Πόροι και Κοινωνική Συνοχή» και</w:t>
      </w:r>
      <w:r>
        <w:rPr>
          <w:rFonts w:cs="Calibri"/>
          <w:lang w:val="el-GR"/>
        </w:rPr>
        <w:t xml:space="preserve"> </w:t>
      </w:r>
      <w:r w:rsidRPr="00692D56">
        <w:rPr>
          <w:rFonts w:cs="Calibri"/>
          <w:lang w:val="el-GR"/>
        </w:rPr>
        <w:t>«Θάλασσα»</w:t>
      </w:r>
      <w:bookmarkEnd w:id="28"/>
      <w:r w:rsidR="008F0453">
        <w:rPr>
          <w:rFonts w:cs="Calibri"/>
          <w:lang w:val="el-GR"/>
        </w:rPr>
        <w:t>,</w:t>
      </w:r>
    </w:p>
    <w:p w14:paraId="151964AF" w14:textId="068D8A24" w:rsidR="005D02F0" w:rsidRDefault="005D02F0" w:rsidP="001D583B">
      <w:pPr>
        <w:numPr>
          <w:ilvl w:val="0"/>
          <w:numId w:val="27"/>
        </w:numPr>
        <w:jc w:val="both"/>
        <w:rPr>
          <w:rFonts w:cs="Calibri"/>
          <w:lang w:val="el-GR"/>
        </w:rPr>
      </w:pPr>
      <w:r>
        <w:rPr>
          <w:rFonts w:cs="Calibri"/>
          <w:lang w:val="el-GR"/>
        </w:rPr>
        <w:t xml:space="preserve">ειδική συνεργασία μεταξύ της </w:t>
      </w:r>
      <w:r w:rsidRPr="005D02F0">
        <w:rPr>
          <w:rFonts w:cs="Calibri"/>
          <w:lang w:val="el-GR"/>
        </w:rPr>
        <w:t xml:space="preserve">ΓΔ ΕΠΣΑ και του </w:t>
      </w:r>
      <w:r w:rsidR="008F0453">
        <w:rPr>
          <w:rFonts w:cs="Calibri"/>
          <w:lang w:val="el-GR"/>
        </w:rPr>
        <w:t>ΥΓΑΑΠ</w:t>
      </w:r>
      <w:r>
        <w:rPr>
          <w:rFonts w:cs="Calibri"/>
          <w:lang w:val="el-GR"/>
        </w:rPr>
        <w:t xml:space="preserve"> για την παρακολούθηση και </w:t>
      </w:r>
      <w:r w:rsidR="00BD10FE">
        <w:rPr>
          <w:rFonts w:cs="Calibri"/>
          <w:lang w:val="el-GR"/>
        </w:rPr>
        <w:t>λήψη μέτρων προς</w:t>
      </w:r>
      <w:r>
        <w:rPr>
          <w:rFonts w:cs="Calibri"/>
          <w:lang w:val="el-GR"/>
        </w:rPr>
        <w:t xml:space="preserve"> εκπλήρωση των εκ των προτέρων αιρεσιμοτήτων της ΣΕΣ και των επιμέρους ΕΠ.</w:t>
      </w:r>
    </w:p>
    <w:p w14:paraId="0A3855BC" w14:textId="77777777" w:rsidR="00422E9E" w:rsidRDefault="00BD10FE" w:rsidP="005D02F0">
      <w:pPr>
        <w:jc w:val="both"/>
        <w:rPr>
          <w:rFonts w:cs="Calibri"/>
          <w:b/>
          <w:lang w:val="el-GR"/>
        </w:rPr>
      </w:pPr>
      <w:r>
        <w:rPr>
          <w:rFonts w:cs="Calibri"/>
          <w:lang w:val="el-GR"/>
        </w:rPr>
        <w:t>Επίσης, μ</w:t>
      </w:r>
      <w:r w:rsidR="00422E9E" w:rsidRPr="00EB24DE">
        <w:rPr>
          <w:rFonts w:cs="Calibri"/>
          <w:lang w:val="el-GR"/>
        </w:rPr>
        <w:t xml:space="preserve">ε στόχο τον καλύτερο συντονισμό και </w:t>
      </w:r>
      <w:r w:rsidR="00422E9E">
        <w:rPr>
          <w:rFonts w:cs="Calibri"/>
          <w:lang w:val="el-GR"/>
        </w:rPr>
        <w:t xml:space="preserve">τη </w:t>
      </w:r>
      <w:r w:rsidR="00422E9E" w:rsidRPr="00EB24DE">
        <w:rPr>
          <w:rFonts w:cs="Calibri"/>
          <w:lang w:val="el-GR"/>
        </w:rPr>
        <w:t xml:space="preserve">στρατηγική παρακολούθηση της </w:t>
      </w:r>
      <w:r w:rsidR="00422E9E">
        <w:rPr>
          <w:rFonts w:cs="Calibri"/>
          <w:lang w:val="el-GR"/>
        </w:rPr>
        <w:t xml:space="preserve">υλοποίησης της </w:t>
      </w:r>
      <w:r w:rsidR="00422E9E" w:rsidRPr="00EB24DE">
        <w:rPr>
          <w:rFonts w:cs="Calibri"/>
          <w:lang w:val="el-GR"/>
        </w:rPr>
        <w:t xml:space="preserve">ΣΕΣ έχει συσταθεί </w:t>
      </w:r>
      <w:r w:rsidR="00422E9E" w:rsidRPr="00970BB1">
        <w:rPr>
          <w:rFonts w:cs="Calibri"/>
          <w:b/>
          <w:lang w:val="el-GR"/>
        </w:rPr>
        <w:t>Συντονιστική Επιτροπή Σχεδιασμού και Στρατηγικής Παρακολούθησης</w:t>
      </w:r>
      <w:r w:rsidR="00422E9E" w:rsidRPr="00BD10FE">
        <w:rPr>
          <w:rFonts w:cs="Calibri"/>
          <w:lang w:val="el-GR"/>
        </w:rPr>
        <w:t>,</w:t>
      </w:r>
      <w:r>
        <w:rPr>
          <w:rFonts w:cs="Calibri"/>
          <w:lang w:val="el-GR"/>
        </w:rPr>
        <w:t xml:space="preserve"> η οποία απαρτίζεται από τους Γενικούς Διευθυντές των Υπουργείων της Κυπριακής Δημοκρατίας</w:t>
      </w:r>
      <w:r w:rsidR="00422E9E">
        <w:rPr>
          <w:rFonts w:cs="Calibri"/>
          <w:lang w:val="el-GR"/>
        </w:rPr>
        <w:t>.</w:t>
      </w:r>
    </w:p>
    <w:p w14:paraId="2E3DBDB4" w14:textId="6AF8F915" w:rsidR="00F677F4" w:rsidRDefault="00F677F4" w:rsidP="005D02F0">
      <w:pPr>
        <w:jc w:val="both"/>
        <w:rPr>
          <w:rFonts w:cs="Calibri"/>
          <w:lang w:val="el-GR"/>
        </w:rPr>
      </w:pPr>
      <w:r w:rsidRPr="0070570C">
        <w:rPr>
          <w:rFonts w:cs="Calibri"/>
          <w:b/>
          <w:lang w:val="el-GR"/>
        </w:rPr>
        <w:t xml:space="preserve">Στο επίπεδο του σχεδιασμού και της εφαρμογής παρεμβάσεων </w:t>
      </w:r>
      <w:r w:rsidR="00BD10FE">
        <w:rPr>
          <w:rFonts w:cs="Calibri"/>
          <w:b/>
          <w:lang w:val="el-GR"/>
        </w:rPr>
        <w:t>σε</w:t>
      </w:r>
      <w:r w:rsidRPr="0070570C">
        <w:rPr>
          <w:rFonts w:cs="Calibri"/>
          <w:b/>
          <w:lang w:val="el-GR"/>
        </w:rPr>
        <w:t xml:space="preserve"> </w:t>
      </w:r>
      <w:r w:rsidR="00BD10FE">
        <w:rPr>
          <w:rFonts w:cs="Calibri"/>
          <w:b/>
          <w:lang w:val="el-GR"/>
        </w:rPr>
        <w:t>Θεματικούς Στόχους</w:t>
      </w:r>
      <w:r w:rsidRPr="0070570C">
        <w:rPr>
          <w:rFonts w:cs="Calibri"/>
          <w:b/>
          <w:lang w:val="el-GR"/>
        </w:rPr>
        <w:t xml:space="preserve"> που περιλαμβάνονται σε περισσότερα τους ενός Ταμεία</w:t>
      </w:r>
      <w:r w:rsidR="00BD10FE" w:rsidRPr="00BD10FE">
        <w:rPr>
          <w:rFonts w:cs="Calibri"/>
          <w:lang w:val="el-GR"/>
        </w:rPr>
        <w:t>,</w:t>
      </w:r>
      <w:r w:rsidR="00BD10FE">
        <w:rPr>
          <w:rFonts w:cs="Calibri"/>
          <w:lang w:val="el-GR"/>
        </w:rPr>
        <w:t xml:space="preserve"> έχουν</w:t>
      </w:r>
      <w:r>
        <w:rPr>
          <w:rFonts w:cs="Calibri"/>
          <w:lang w:val="el-GR"/>
        </w:rPr>
        <w:t xml:space="preserve"> ήδη </w:t>
      </w:r>
      <w:r w:rsidR="00BD10FE">
        <w:rPr>
          <w:rFonts w:cs="Calibri"/>
          <w:lang w:val="el-GR"/>
        </w:rPr>
        <w:t xml:space="preserve">καθοριστεί </w:t>
      </w:r>
      <w:r>
        <w:rPr>
          <w:rFonts w:cs="Calibri"/>
          <w:lang w:val="el-GR"/>
        </w:rPr>
        <w:t xml:space="preserve">κατά το στάδιο εκπόνησης της </w:t>
      </w:r>
      <w:r w:rsidR="00BD10FE">
        <w:rPr>
          <w:rFonts w:cs="Calibri"/>
          <w:lang w:val="el-GR"/>
        </w:rPr>
        <w:t>ΣΕΣ</w:t>
      </w:r>
      <w:r w:rsidRPr="00F677F4">
        <w:rPr>
          <w:rFonts w:cs="Calibri"/>
          <w:lang w:val="el-GR"/>
        </w:rPr>
        <w:t xml:space="preserve"> </w:t>
      </w:r>
      <w:r>
        <w:rPr>
          <w:rFonts w:cs="Calibri"/>
          <w:lang w:val="el-GR"/>
        </w:rPr>
        <w:t xml:space="preserve">και εφαρμόζονται </w:t>
      </w:r>
      <w:r w:rsidR="00BD10FE">
        <w:rPr>
          <w:rFonts w:cs="Calibri"/>
          <w:lang w:val="el-GR"/>
        </w:rPr>
        <w:t xml:space="preserve">κατά την υλοποίηση των ΕΠ, </w:t>
      </w:r>
      <w:r>
        <w:rPr>
          <w:rFonts w:cs="Calibri"/>
          <w:lang w:val="el-GR"/>
        </w:rPr>
        <w:t>τα ακόλουθα</w:t>
      </w:r>
      <w:r w:rsidRPr="00F677F4">
        <w:rPr>
          <w:rFonts w:cs="Calibri"/>
          <w:lang w:val="el-GR"/>
        </w:rPr>
        <w:t xml:space="preserve"> κριτήρια</w:t>
      </w:r>
      <w:r w:rsidR="00BD10FE">
        <w:rPr>
          <w:rFonts w:cs="Calibri"/>
          <w:lang w:val="el-GR"/>
        </w:rPr>
        <w:t>,</w:t>
      </w:r>
      <w:r w:rsidRPr="00F677F4">
        <w:rPr>
          <w:rFonts w:cs="Calibri"/>
          <w:lang w:val="el-GR"/>
        </w:rPr>
        <w:t xml:space="preserve"> βάσει των οποίων θα γ</w:t>
      </w:r>
      <w:r>
        <w:rPr>
          <w:rFonts w:cs="Calibri"/>
          <w:lang w:val="el-GR"/>
        </w:rPr>
        <w:t>ίνεται</w:t>
      </w:r>
      <w:r w:rsidRPr="00F677F4">
        <w:rPr>
          <w:rFonts w:cs="Calibri"/>
          <w:lang w:val="el-GR"/>
        </w:rPr>
        <w:t xml:space="preserve"> ο διαχωρισμός των δράσεων ανά Ταμείο</w:t>
      </w:r>
      <w:r>
        <w:rPr>
          <w:rFonts w:cs="Calibri"/>
          <w:lang w:val="el-GR"/>
        </w:rPr>
        <w:t>:</w:t>
      </w:r>
    </w:p>
    <w:p w14:paraId="11A362E8" w14:textId="77777777" w:rsidR="00F677F4" w:rsidRPr="00BD10FE" w:rsidRDefault="00F677F4" w:rsidP="001D583B">
      <w:pPr>
        <w:pStyle w:val="ListParagraph"/>
        <w:numPr>
          <w:ilvl w:val="0"/>
          <w:numId w:val="36"/>
        </w:numPr>
        <w:ind w:left="714" w:hanging="357"/>
        <w:contextualSpacing w:val="0"/>
        <w:jc w:val="both"/>
        <w:rPr>
          <w:rFonts w:cs="Calibri"/>
          <w:lang w:val="el-GR"/>
        </w:rPr>
      </w:pPr>
      <w:r w:rsidRPr="00BD10FE">
        <w:rPr>
          <w:rFonts w:cs="Calibri"/>
          <w:i/>
          <w:lang w:val="el-GR"/>
        </w:rPr>
        <w:t xml:space="preserve">Περιοχές </w:t>
      </w:r>
      <w:r w:rsidR="00970BB1" w:rsidRPr="00BD10FE">
        <w:rPr>
          <w:rFonts w:cs="Calibri"/>
          <w:i/>
        </w:rPr>
        <w:t>NATURA</w:t>
      </w:r>
      <w:r w:rsidRPr="00BD10FE">
        <w:rPr>
          <w:rFonts w:cs="Calibri"/>
          <w:i/>
          <w:lang w:val="el-GR"/>
        </w:rPr>
        <w:t xml:space="preserve"> 2000</w:t>
      </w:r>
      <w:r w:rsidRPr="00BD10FE">
        <w:rPr>
          <w:rFonts w:cs="Calibri"/>
          <w:lang w:val="el-GR"/>
        </w:rPr>
        <w:t xml:space="preserve">: Το ΕΤΠΑ συμβάλει στην εφαρμογή έργων εντός των πλείστων περιοχών </w:t>
      </w:r>
      <w:r w:rsidR="00970BB1" w:rsidRPr="00BD10FE">
        <w:rPr>
          <w:rFonts w:cs="Calibri"/>
        </w:rPr>
        <w:t>NATURA</w:t>
      </w:r>
      <w:r w:rsidRPr="00BD10FE">
        <w:rPr>
          <w:rFonts w:cs="Calibri"/>
          <w:lang w:val="el-GR"/>
        </w:rPr>
        <w:t xml:space="preserve">, για την ανάδειξη των περιοχών και τη βελτίωση της βιοποικιλότητας των οικοσυστημάτων, εκτός από έργα στις περιοχές που αφορούν θαλάσσιες </w:t>
      </w:r>
      <w:r w:rsidR="00970BB1" w:rsidRPr="00BD10FE">
        <w:rPr>
          <w:rFonts w:cs="Calibri"/>
        </w:rPr>
        <w:t>NATURA</w:t>
      </w:r>
      <w:r w:rsidRPr="00BD10FE">
        <w:rPr>
          <w:rFonts w:cs="Calibri"/>
          <w:lang w:val="el-GR"/>
        </w:rPr>
        <w:t xml:space="preserve">, τα οποία </w:t>
      </w:r>
      <w:r w:rsidRPr="00BD10FE">
        <w:rPr>
          <w:rFonts w:cs="Calibri"/>
          <w:lang w:val="el-GR"/>
        </w:rPr>
        <w:lastRenderedPageBreak/>
        <w:t xml:space="preserve">προβλέπεται να υλοποιηθούν από το ΕΤΘΑ. Από την άλλη, το ΕΓΤΑΑ θα υλοποιήσει έργα που αφορούν οικοτουριστικές αναπτύξεις εκτός των περιοχών προστασίας των </w:t>
      </w:r>
      <w:r w:rsidR="00970BB1" w:rsidRPr="00BD10FE">
        <w:rPr>
          <w:rFonts w:cs="Calibri"/>
        </w:rPr>
        <w:t>NATURA</w:t>
      </w:r>
      <w:r w:rsidRPr="00BD10FE">
        <w:rPr>
          <w:rFonts w:cs="Calibri"/>
          <w:lang w:val="el-GR"/>
        </w:rPr>
        <w:t>.</w:t>
      </w:r>
    </w:p>
    <w:p w14:paraId="441620D1" w14:textId="69F56DD5" w:rsidR="00F677F4" w:rsidRPr="00486EC5" w:rsidRDefault="00F677F4" w:rsidP="001D583B">
      <w:pPr>
        <w:pStyle w:val="ListParagraph"/>
        <w:numPr>
          <w:ilvl w:val="0"/>
          <w:numId w:val="36"/>
        </w:numPr>
        <w:ind w:left="714" w:hanging="357"/>
        <w:contextualSpacing w:val="0"/>
        <w:jc w:val="both"/>
        <w:rPr>
          <w:rFonts w:cs="Calibri"/>
          <w:lang w:val="el-GR"/>
        </w:rPr>
      </w:pPr>
      <w:r w:rsidRPr="00486EC5">
        <w:rPr>
          <w:rFonts w:cs="Calibri"/>
          <w:i/>
          <w:lang w:val="el-GR"/>
        </w:rPr>
        <w:t>Κλιματική Αλλαγή</w:t>
      </w:r>
      <w:r w:rsidRPr="00486EC5">
        <w:rPr>
          <w:rFonts w:cs="Calibri"/>
          <w:lang w:val="el-GR"/>
        </w:rPr>
        <w:t xml:space="preserve">: Με τη συμβολή του </w:t>
      </w:r>
      <w:r w:rsidR="00425ECB" w:rsidRPr="00486EC5">
        <w:rPr>
          <w:rFonts w:cs="Calibri"/>
          <w:lang w:val="el-GR"/>
        </w:rPr>
        <w:t>ΕΤΠΑ</w:t>
      </w:r>
      <w:r w:rsidRPr="00486EC5">
        <w:rPr>
          <w:rFonts w:cs="Calibri"/>
          <w:lang w:val="el-GR"/>
        </w:rPr>
        <w:t xml:space="preserve"> θα επιδιωχθεί η βελτίωση της παρακολούθησης των επιπτώσεων της κλιματικής αλλαγής, η εκτίμηση και διαχείριση των κινδύνων από την κλιματική αλλαγή, καθώς και δράσεις προσαρμογής </w:t>
      </w:r>
      <w:r w:rsidR="00BB7CFC" w:rsidRPr="00486EC5">
        <w:rPr>
          <w:rFonts w:cs="Calibri"/>
          <w:lang w:val="el-GR"/>
        </w:rPr>
        <w:t>στις επιπτώσεις της κλιματικής αλλαγής</w:t>
      </w:r>
      <w:r w:rsidR="006479FF" w:rsidRPr="00486EC5">
        <w:rPr>
          <w:rFonts w:cs="Calibri"/>
          <w:lang w:val="el-GR"/>
        </w:rPr>
        <w:t>,</w:t>
      </w:r>
      <w:r w:rsidR="00BB7CFC" w:rsidRPr="00486EC5">
        <w:rPr>
          <w:rFonts w:cs="Calibri"/>
          <w:lang w:val="el-GR"/>
        </w:rPr>
        <w:t xml:space="preserve"> με έμφαση σε έργα </w:t>
      </w:r>
      <w:r w:rsidR="00BB7CFC" w:rsidRPr="00486EC5">
        <w:rPr>
          <w:lang w:val="el-GR"/>
        </w:rPr>
        <w:t>προστασίας των παράκτιων ζωνών από τη διάβρωση των ακτών</w:t>
      </w:r>
      <w:r w:rsidRPr="00486EC5">
        <w:rPr>
          <w:rFonts w:cs="Calibri"/>
          <w:lang w:val="el-GR"/>
        </w:rPr>
        <w:t xml:space="preserve">. Οι δράσεις μέσω του ΕΓΤΑΑ θα αφορούν κυρίως τον τομέα της γεωργίας, το έδαφος και τα δάση. Οι δράσεις που αφορούν </w:t>
      </w:r>
      <w:r w:rsidR="00BB7CFC" w:rsidRPr="00486EC5">
        <w:rPr>
          <w:rFonts w:cs="Calibri"/>
          <w:lang w:val="el-GR"/>
        </w:rPr>
        <w:t>σ</w:t>
      </w:r>
      <w:r w:rsidRPr="00486EC5">
        <w:rPr>
          <w:rFonts w:cs="Calibri"/>
          <w:lang w:val="el-GR"/>
        </w:rPr>
        <w:t xml:space="preserve">την προστασία των δασών και την πρόληψη πυρκαγιών θα καλύπτονται μόνο από το ΕΓΤΑΑ. </w:t>
      </w:r>
    </w:p>
    <w:p w14:paraId="1FF5D728" w14:textId="0BE6D2DF" w:rsidR="00F677F4" w:rsidRPr="00BD10FE" w:rsidRDefault="00BD10FE" w:rsidP="001D583B">
      <w:pPr>
        <w:pStyle w:val="ListParagraph"/>
        <w:numPr>
          <w:ilvl w:val="0"/>
          <w:numId w:val="36"/>
        </w:numPr>
        <w:ind w:left="714" w:hanging="357"/>
        <w:contextualSpacing w:val="0"/>
        <w:jc w:val="both"/>
        <w:rPr>
          <w:rFonts w:cs="Calibri"/>
          <w:lang w:val="el-GR"/>
        </w:rPr>
      </w:pPr>
      <w:r w:rsidRPr="00BD10FE">
        <w:rPr>
          <w:rFonts w:cs="Calibri"/>
          <w:i/>
          <w:lang w:val="el-GR"/>
        </w:rPr>
        <w:t>Ύδατα</w:t>
      </w:r>
      <w:r w:rsidR="00F677F4" w:rsidRPr="00BD10FE">
        <w:rPr>
          <w:rFonts w:cs="Calibri"/>
          <w:lang w:val="el-GR"/>
        </w:rPr>
        <w:t>: Μέσω του Ταμείου Συνοχής θα επιδιωχθεί η δημιουργία υποδομών για υγρά απόβλητα, η μείωση απωλειών από τα συστήματα μεταφοράς νερού για σκοπούς ύδρευσης και η αξιοποίηση του ανακυκλωμένου νερού για ενίσχυση του υδατικού</w:t>
      </w:r>
      <w:r w:rsidR="0070570C" w:rsidRPr="00BD10FE">
        <w:rPr>
          <w:rFonts w:cs="Calibri"/>
          <w:lang w:val="el-GR"/>
        </w:rPr>
        <w:t xml:space="preserve"> ισοζυγίου και εμπλουτισμό των υδροφορέων</w:t>
      </w:r>
      <w:r w:rsidR="007B454C">
        <w:rPr>
          <w:rFonts w:cs="Calibri"/>
          <w:lang w:val="el-GR"/>
        </w:rPr>
        <w:t>.</w:t>
      </w:r>
      <w:r w:rsidR="0070570C" w:rsidRPr="00BD10FE">
        <w:rPr>
          <w:rFonts w:cs="Calibri"/>
          <w:lang w:val="el-GR"/>
        </w:rPr>
        <w:t xml:space="preserve"> </w:t>
      </w:r>
      <w:r w:rsidR="007B454C">
        <w:rPr>
          <w:rFonts w:cs="Calibri"/>
          <w:lang w:val="el-GR"/>
        </w:rPr>
        <w:t>Μ</w:t>
      </w:r>
      <w:r w:rsidR="0070570C" w:rsidRPr="00BD10FE">
        <w:rPr>
          <w:rFonts w:cs="Calibri"/>
          <w:lang w:val="el-GR"/>
        </w:rPr>
        <w:t>έσω του ΕΓΤΑΑ προωθείται η επίλυση προβλημάτων που αφορούν την άρδευση (εξοικονόμηση νερού, βελτίωση της αποδοτικότητας στη χρήση ύδατος και υποδομές μεταφοράς και αποθήκευσης νερού για κάλυψη των αναγκών άρδευσης).</w:t>
      </w:r>
    </w:p>
    <w:p w14:paraId="354BDC38" w14:textId="77777777" w:rsidR="00F677F4" w:rsidRPr="00BD10FE" w:rsidRDefault="00BD10FE" w:rsidP="001D583B">
      <w:pPr>
        <w:pStyle w:val="ListParagraph"/>
        <w:numPr>
          <w:ilvl w:val="0"/>
          <w:numId w:val="36"/>
        </w:numPr>
        <w:ind w:left="714" w:hanging="357"/>
        <w:contextualSpacing w:val="0"/>
        <w:jc w:val="both"/>
        <w:rPr>
          <w:rFonts w:cs="Calibri"/>
          <w:lang w:val="el-GR"/>
        </w:rPr>
      </w:pPr>
      <w:r w:rsidRPr="00BD10FE">
        <w:rPr>
          <w:rFonts w:cs="Calibri"/>
          <w:i/>
          <w:lang w:val="el-GR"/>
        </w:rPr>
        <w:t>ΑΠΕ</w:t>
      </w:r>
      <w:r>
        <w:rPr>
          <w:rFonts w:cs="Calibri"/>
          <w:lang w:val="el-GR"/>
        </w:rPr>
        <w:t xml:space="preserve">: </w:t>
      </w:r>
      <w:r w:rsidR="0070570C" w:rsidRPr="00BD10FE">
        <w:rPr>
          <w:rFonts w:cs="Calibri"/>
          <w:lang w:val="el-GR"/>
        </w:rPr>
        <w:t>Για την προώθηση της ενεργειακής απόδοσης και της χρήσης ΑΠΕ σε ΜΜΕ, το ΕΤΠΑ χρηματοδοτεί επενδύσεις σε ΜΜΕ που δραστηριοποιούνται σε όλους τους τομείς οικονομικής δραστηριότητας</w:t>
      </w:r>
      <w:r w:rsidR="007B454C">
        <w:rPr>
          <w:rFonts w:cs="Calibri"/>
          <w:lang w:val="el-GR"/>
        </w:rPr>
        <w:t>,</w:t>
      </w:r>
      <w:r w:rsidR="0070570C" w:rsidRPr="00BD10FE">
        <w:rPr>
          <w:rFonts w:cs="Calibri"/>
          <w:lang w:val="el-GR"/>
        </w:rPr>
        <w:t xml:space="preserve"> με εξαίρεση το γεωργικό τομέα τον οποίο θα καλύψει το ΕΓΤΑΑ. Η προώθηση χρήσης ΑΠΕ σε ότι αφορά την ηλιακή ενέργεια στον γεωργικό τομέα θα καλύπτεται μόνο από το ΕΓΤΑΑ. Το ΕΤΘΑ θα στηρίξει παρεμβάσεις εξοικονόμησης ενέργειας στα αλιευτικά σκάφη και </w:t>
      </w:r>
      <w:r w:rsidR="007B454C">
        <w:rPr>
          <w:rFonts w:cs="Calibri"/>
          <w:lang w:val="el-GR"/>
        </w:rPr>
        <w:t>σ</w:t>
      </w:r>
      <w:r w:rsidR="0070570C" w:rsidRPr="00BD10FE">
        <w:rPr>
          <w:rFonts w:cs="Calibri"/>
          <w:lang w:val="el-GR"/>
        </w:rPr>
        <w:t>την υδατοκαλλιέργεια.</w:t>
      </w:r>
    </w:p>
    <w:p w14:paraId="3A4C1D25" w14:textId="088A85CB" w:rsidR="0070570C" w:rsidRDefault="0070570C" w:rsidP="005D02F0">
      <w:pPr>
        <w:jc w:val="both"/>
        <w:rPr>
          <w:rFonts w:cs="Calibri"/>
          <w:lang w:val="el-GR"/>
        </w:rPr>
      </w:pPr>
      <w:r w:rsidRPr="0070570C">
        <w:rPr>
          <w:rFonts w:cs="Calibri"/>
          <w:b/>
          <w:lang w:val="el-GR"/>
        </w:rPr>
        <w:t xml:space="preserve">Στο επίπεδο της συμπληρωματικότητας των Ταμείων σε Θεματικές </w:t>
      </w:r>
      <w:r w:rsidR="00BD10FE">
        <w:rPr>
          <w:rFonts w:cs="Calibri"/>
          <w:b/>
          <w:lang w:val="el-GR"/>
        </w:rPr>
        <w:t>Στόχους</w:t>
      </w:r>
      <w:r w:rsidR="00BD10FE" w:rsidRPr="00BD10FE">
        <w:rPr>
          <w:rFonts w:cs="Calibri"/>
          <w:lang w:val="el-GR"/>
        </w:rPr>
        <w:t>, εφαρμόζονται</w:t>
      </w:r>
      <w:r>
        <w:rPr>
          <w:rFonts w:cs="Calibri"/>
          <w:lang w:val="el-GR"/>
        </w:rPr>
        <w:t xml:space="preserve"> ενδεικτικά  </w:t>
      </w:r>
      <w:r w:rsidR="002417EC">
        <w:rPr>
          <w:rFonts w:cs="Calibri"/>
          <w:lang w:val="el-GR"/>
        </w:rPr>
        <w:t>τα εξής</w:t>
      </w:r>
      <w:r>
        <w:rPr>
          <w:rFonts w:cs="Calibri"/>
          <w:lang w:val="el-GR"/>
        </w:rPr>
        <w:t xml:space="preserve">: </w:t>
      </w:r>
    </w:p>
    <w:p w14:paraId="1506F540" w14:textId="77777777" w:rsidR="0070570C" w:rsidRDefault="0070570C" w:rsidP="001D583B">
      <w:pPr>
        <w:numPr>
          <w:ilvl w:val="0"/>
          <w:numId w:val="28"/>
        </w:numPr>
        <w:jc w:val="both"/>
        <w:rPr>
          <w:rFonts w:cs="Calibri"/>
          <w:lang w:val="el-GR"/>
        </w:rPr>
      </w:pPr>
      <w:r w:rsidRPr="0070570C">
        <w:rPr>
          <w:rFonts w:cs="Calibri"/>
          <w:lang w:val="el-GR"/>
        </w:rPr>
        <w:t xml:space="preserve">το ΕΚΤ </w:t>
      </w:r>
      <w:r>
        <w:rPr>
          <w:rFonts w:cs="Calibri"/>
          <w:lang w:val="el-GR"/>
        </w:rPr>
        <w:t>χρηματοδοτεί</w:t>
      </w:r>
      <w:r w:rsidRPr="0070570C">
        <w:rPr>
          <w:rFonts w:cs="Calibri"/>
          <w:lang w:val="el-GR"/>
        </w:rPr>
        <w:t xml:space="preserve"> παρεμβάσεις επαγγελματικής και τεχνικής εκπαίδευσης και κατάρτισης σε τομείς οικονομικής δραστηριότητας</w:t>
      </w:r>
      <w:r w:rsidR="00BD10FE">
        <w:rPr>
          <w:rFonts w:cs="Calibri"/>
          <w:lang w:val="el-GR"/>
        </w:rPr>
        <w:t>,</w:t>
      </w:r>
      <w:r w:rsidRPr="0070570C">
        <w:rPr>
          <w:rFonts w:cs="Calibri"/>
          <w:lang w:val="el-GR"/>
        </w:rPr>
        <w:t xml:space="preserve"> που θα στηριχθούν από το ΕΤΠΑ, ΕΓΤΑΑ και ΕΤΘΑ</w:t>
      </w:r>
    </w:p>
    <w:p w14:paraId="46FB65CD" w14:textId="77777777" w:rsidR="0070570C" w:rsidRDefault="0070570C" w:rsidP="001D583B">
      <w:pPr>
        <w:numPr>
          <w:ilvl w:val="0"/>
          <w:numId w:val="28"/>
        </w:numPr>
        <w:jc w:val="both"/>
        <w:rPr>
          <w:rFonts w:cs="Calibri"/>
          <w:lang w:val="el-GR"/>
        </w:rPr>
      </w:pPr>
      <w:r>
        <w:rPr>
          <w:rFonts w:cs="Calibri"/>
          <w:lang w:val="el-GR"/>
        </w:rPr>
        <w:t>η</w:t>
      </w:r>
      <w:r w:rsidRPr="0070570C">
        <w:rPr>
          <w:rFonts w:cs="Calibri"/>
          <w:lang w:val="el-GR"/>
        </w:rPr>
        <w:t xml:space="preserve"> ενίσχυση της ανταγωνιστικότητας των παραγωγικών τομέων της οικονομίας </w:t>
      </w:r>
      <w:r>
        <w:rPr>
          <w:rFonts w:cs="Calibri"/>
          <w:lang w:val="el-GR"/>
        </w:rPr>
        <w:t>προωθείται ανά τομέα</w:t>
      </w:r>
      <w:r w:rsidR="00BD10FE">
        <w:rPr>
          <w:rFonts w:cs="Calibri"/>
          <w:lang w:val="el-GR"/>
        </w:rPr>
        <w:t>,</w:t>
      </w:r>
      <w:r w:rsidRPr="0070570C">
        <w:rPr>
          <w:rFonts w:cs="Calibri"/>
          <w:lang w:val="el-GR"/>
        </w:rPr>
        <w:t xml:space="preserve"> μέσω παρεμβάσεων του ΕΤΠΑ, ΕΓΤΑΑ και ΕΤΘΑ</w:t>
      </w:r>
    </w:p>
    <w:p w14:paraId="357D433D" w14:textId="77777777" w:rsidR="0070570C" w:rsidRDefault="0070570C" w:rsidP="001D583B">
      <w:pPr>
        <w:numPr>
          <w:ilvl w:val="0"/>
          <w:numId w:val="28"/>
        </w:numPr>
        <w:jc w:val="both"/>
        <w:rPr>
          <w:rFonts w:cs="Calibri"/>
          <w:lang w:val="el-GR"/>
        </w:rPr>
      </w:pPr>
      <w:r>
        <w:rPr>
          <w:rFonts w:cs="Calibri"/>
          <w:lang w:val="el-GR"/>
        </w:rPr>
        <w:t xml:space="preserve">οι δράσεις </w:t>
      </w:r>
      <w:r w:rsidRPr="0070570C">
        <w:rPr>
          <w:rFonts w:cs="Calibri"/>
          <w:lang w:val="el-GR"/>
        </w:rPr>
        <w:t xml:space="preserve">εξοικονόμησης ενέργειας </w:t>
      </w:r>
      <w:r>
        <w:rPr>
          <w:rFonts w:cs="Calibri"/>
          <w:lang w:val="el-GR"/>
        </w:rPr>
        <w:t>ενισχύονται</w:t>
      </w:r>
      <w:r w:rsidRPr="0070570C">
        <w:rPr>
          <w:rFonts w:cs="Calibri"/>
          <w:lang w:val="el-GR"/>
        </w:rPr>
        <w:t xml:space="preserve"> τόσο μέσω παρεμβάσεων του ΕΤΠΑ </w:t>
      </w:r>
      <w:r w:rsidR="00BD10FE">
        <w:rPr>
          <w:rFonts w:cs="Calibri"/>
          <w:lang w:val="el-GR"/>
        </w:rPr>
        <w:t xml:space="preserve">και του Τ.Σ. </w:t>
      </w:r>
      <w:r w:rsidRPr="0070570C">
        <w:rPr>
          <w:rFonts w:cs="Calibri"/>
          <w:lang w:val="el-GR"/>
        </w:rPr>
        <w:t>όσο και μέσω του ΕΓΤΑΑ και του ΕΤΘΑ</w:t>
      </w:r>
    </w:p>
    <w:p w14:paraId="218945DE" w14:textId="453B7A1D" w:rsidR="0070570C" w:rsidRDefault="0070570C" w:rsidP="001D583B">
      <w:pPr>
        <w:numPr>
          <w:ilvl w:val="0"/>
          <w:numId w:val="28"/>
        </w:numPr>
        <w:jc w:val="both"/>
        <w:rPr>
          <w:rFonts w:cs="Calibri"/>
          <w:lang w:val="el-GR"/>
        </w:rPr>
      </w:pPr>
      <w:r>
        <w:rPr>
          <w:rFonts w:cs="Calibri"/>
          <w:lang w:val="el-GR"/>
        </w:rPr>
        <w:t>παρέχεται η δυνατότητα συμπληρωματικών δράσεων του ΕΤΠΑ και του ΕΚΤ για τη στήριξη των Στρατηγικών ΟΒΑΑ</w:t>
      </w:r>
      <w:r w:rsidR="00BD10FE">
        <w:rPr>
          <w:rFonts w:cs="Calibri"/>
          <w:lang w:val="el-GR"/>
        </w:rPr>
        <w:t xml:space="preserve"> σε αστικά κέντρα</w:t>
      </w:r>
    </w:p>
    <w:p w14:paraId="2A4A0CCC" w14:textId="77777777" w:rsidR="0070570C" w:rsidRDefault="0070570C" w:rsidP="001D583B">
      <w:pPr>
        <w:numPr>
          <w:ilvl w:val="0"/>
          <w:numId w:val="28"/>
        </w:numPr>
        <w:jc w:val="both"/>
        <w:rPr>
          <w:rFonts w:cs="Calibri"/>
          <w:lang w:val="el-GR"/>
        </w:rPr>
      </w:pPr>
      <w:r>
        <w:rPr>
          <w:rFonts w:cs="Calibri"/>
          <w:lang w:val="el-GR"/>
        </w:rPr>
        <w:t xml:space="preserve">το ΕΓΤΑΑ και το ΕΤΘΑ προβλέπεται να χρηματοδοτήσουν διακριτά τις </w:t>
      </w:r>
      <w:r w:rsidR="007B2FAC">
        <w:rPr>
          <w:rFonts w:cs="Calibri"/>
          <w:lang w:val="el-GR"/>
        </w:rPr>
        <w:t>τοπικές αναπτυξιακές πρωτοβουλίες στις αγροτικές και αλιευτικές περιοχές αντίστοιχα</w:t>
      </w:r>
      <w:r w:rsidR="00BD10FE">
        <w:rPr>
          <w:rFonts w:cs="Calibri"/>
          <w:lang w:val="el-GR"/>
        </w:rPr>
        <w:t>.</w:t>
      </w:r>
    </w:p>
    <w:p w14:paraId="75D9BBF5" w14:textId="7798F5E2" w:rsidR="008C1136" w:rsidRDefault="00C3423E" w:rsidP="008C1136">
      <w:pPr>
        <w:jc w:val="both"/>
        <w:rPr>
          <w:lang w:val="el-GR"/>
        </w:rPr>
      </w:pPr>
      <w:r>
        <w:rPr>
          <w:rFonts w:cs="Calibri"/>
          <w:lang w:val="el-GR"/>
        </w:rPr>
        <w:t xml:space="preserve">Ειδικά για το </w:t>
      </w:r>
      <w:r w:rsidR="008A5243">
        <w:rPr>
          <w:rFonts w:cs="Calibri"/>
          <w:lang w:val="el-GR"/>
        </w:rPr>
        <w:t xml:space="preserve">ΕΓΤΑΑ και το </w:t>
      </w:r>
      <w:r w:rsidRPr="00C3423E">
        <w:rPr>
          <w:rFonts w:cs="Calibri"/>
          <w:lang w:val="el-GR"/>
        </w:rPr>
        <w:t>«Πρόγραμμα Αγροτικής Ανάπτυξης»</w:t>
      </w:r>
      <w:r w:rsidR="00232F41">
        <w:rPr>
          <w:rFonts w:cs="Calibri"/>
          <w:lang w:val="el-GR"/>
        </w:rPr>
        <w:t>,</w:t>
      </w:r>
      <w:r w:rsidR="008A5243">
        <w:rPr>
          <w:rFonts w:cs="Calibri"/>
          <w:lang w:val="el-GR"/>
        </w:rPr>
        <w:t xml:space="preserve"> ισχυρή είναι και η συνέργεια μεταξύ των παρεμβάσεων </w:t>
      </w:r>
      <w:r w:rsidR="008C1136" w:rsidRPr="008C1136">
        <w:rPr>
          <w:rFonts w:cs="Calibri"/>
          <w:lang w:val="el-GR"/>
        </w:rPr>
        <w:t>του 1ου και 2ου Πυλώνα της ΚΑΠ</w:t>
      </w:r>
      <w:r w:rsidR="008C1136">
        <w:rPr>
          <w:rFonts w:cs="Calibri"/>
          <w:lang w:val="el-GR"/>
        </w:rPr>
        <w:t xml:space="preserve">, ενώ ο συντονισμός, </w:t>
      </w:r>
      <w:r w:rsidR="008C1136" w:rsidRPr="008C1136">
        <w:rPr>
          <w:rFonts w:cs="Calibri"/>
          <w:lang w:val="el-GR"/>
        </w:rPr>
        <w:t xml:space="preserve">η παρακολούθηση και η συγκέντρωση των απαραίτητων δεδομένων για την αξιολόγηση των επιπτώσεων </w:t>
      </w:r>
      <w:r w:rsidR="008C1136">
        <w:rPr>
          <w:rFonts w:cs="Calibri"/>
          <w:lang w:val="el-GR"/>
        </w:rPr>
        <w:t>διασφαλίζεται</w:t>
      </w:r>
      <w:r w:rsidR="008C1136" w:rsidRPr="008C1136">
        <w:rPr>
          <w:rFonts w:cs="Calibri"/>
          <w:lang w:val="el-GR"/>
        </w:rPr>
        <w:t xml:space="preserve"> μέσω της αξιοποίησης </w:t>
      </w:r>
      <w:r w:rsidR="00232F41">
        <w:rPr>
          <w:rFonts w:cs="Calibri"/>
          <w:lang w:val="el-GR"/>
        </w:rPr>
        <w:t>του</w:t>
      </w:r>
      <w:r w:rsidR="008C1136" w:rsidRPr="008C1136">
        <w:rPr>
          <w:rFonts w:cs="Calibri"/>
          <w:lang w:val="el-GR"/>
        </w:rPr>
        <w:t xml:space="preserve"> </w:t>
      </w:r>
      <w:r w:rsidR="000B5D1C">
        <w:rPr>
          <w:rFonts w:cs="Calibri"/>
          <w:lang w:val="el-GR"/>
        </w:rPr>
        <w:t>Π</w:t>
      </w:r>
      <w:r w:rsidR="008C1136" w:rsidRPr="008C1136">
        <w:rPr>
          <w:rFonts w:cs="Calibri"/>
          <w:lang w:val="el-GR"/>
        </w:rPr>
        <w:t>ληροφοριακ</w:t>
      </w:r>
      <w:r w:rsidR="00232F41">
        <w:rPr>
          <w:rFonts w:cs="Calibri"/>
          <w:lang w:val="el-GR"/>
        </w:rPr>
        <w:t>ού</w:t>
      </w:r>
      <w:r w:rsidR="008C1136" w:rsidRPr="008C1136">
        <w:rPr>
          <w:rFonts w:cs="Calibri"/>
          <w:lang w:val="el-GR"/>
        </w:rPr>
        <w:t xml:space="preserve"> </w:t>
      </w:r>
      <w:r w:rsidR="000B5D1C">
        <w:rPr>
          <w:rFonts w:cs="Calibri"/>
          <w:lang w:val="el-GR"/>
        </w:rPr>
        <w:t>Σ</w:t>
      </w:r>
      <w:r w:rsidR="00232F41">
        <w:rPr>
          <w:rFonts w:cs="Calibri"/>
          <w:lang w:val="el-GR"/>
        </w:rPr>
        <w:t>υστήματος</w:t>
      </w:r>
      <w:r w:rsidR="008C1136" w:rsidRPr="008C1136">
        <w:rPr>
          <w:rFonts w:cs="Calibri"/>
          <w:lang w:val="el-GR"/>
        </w:rPr>
        <w:t xml:space="preserve"> του Κυπριακού Οργανισμού Αγροτικών Πληρωμών.</w:t>
      </w:r>
      <w:r w:rsidR="008C1136" w:rsidRPr="008C1136">
        <w:rPr>
          <w:lang w:val="el-GR"/>
        </w:rPr>
        <w:t xml:space="preserve"> </w:t>
      </w:r>
      <w:r w:rsidR="008C1136" w:rsidRPr="000D7E17">
        <w:rPr>
          <w:lang w:val="el-GR"/>
        </w:rPr>
        <w:t xml:space="preserve">Σε </w:t>
      </w:r>
      <w:r w:rsidR="008C1136" w:rsidRPr="000D7E17">
        <w:rPr>
          <w:lang w:val="el-GR"/>
        </w:rPr>
        <w:lastRenderedPageBreak/>
        <w:t xml:space="preserve">σχέση με τη συμπληρωματικότητα </w:t>
      </w:r>
      <w:bookmarkStart w:id="29" w:name="_Hlk487785651"/>
      <w:r w:rsidR="008C1136" w:rsidRPr="000D7E17">
        <w:rPr>
          <w:lang w:val="el-GR"/>
        </w:rPr>
        <w:t>του 1ου και 2ου Πυλώνα της ΚΑΠ</w:t>
      </w:r>
      <w:bookmarkEnd w:id="29"/>
      <w:r w:rsidR="008C1136" w:rsidRPr="000D7E17">
        <w:rPr>
          <w:lang w:val="el-GR"/>
        </w:rPr>
        <w:t xml:space="preserve">, οι καταβαλλόμενες άμεσες ενισχύσεις έχουν φιλοπεριβαλλοντικά προαπαιτούμενα (πολλαπλή συμμόρφωση, πράσινη ενίσχυση), που συνιστούν βάση εκκίνησης για τα εκταρικά Μέτρα του ΠΑΑ και </w:t>
      </w:r>
      <w:r w:rsidR="00232F41">
        <w:rPr>
          <w:lang w:val="el-GR"/>
        </w:rPr>
        <w:t>συνάδουν</w:t>
      </w:r>
      <w:r w:rsidR="008C1136" w:rsidRPr="000D7E17">
        <w:rPr>
          <w:lang w:val="el-GR"/>
        </w:rPr>
        <w:t xml:space="preserve"> με το ισχυρό αποτύπωμ</w:t>
      </w:r>
      <w:r w:rsidR="00232F41">
        <w:rPr>
          <w:lang w:val="el-GR"/>
        </w:rPr>
        <w:t>ά</w:t>
      </w:r>
      <w:r w:rsidR="008C1136" w:rsidRPr="000D7E17">
        <w:rPr>
          <w:lang w:val="el-GR"/>
        </w:rPr>
        <w:t xml:space="preserve"> του σε ότι αφορά στο περιβάλλον (Μέτρα 8, 10, 11, 12). Ενδεικτικά </w:t>
      </w:r>
      <w:r w:rsidR="00232F41">
        <w:rPr>
          <w:lang w:val="el-GR"/>
        </w:rPr>
        <w:t>αναφέρεται ότι το 2016 καταβλήθηκαν σε δικαιούχους €49,8 εκ. μέσω άμεσων ενισχύσεων και €20,8 εκ. μέσω Εκταρικών Μέτρων,</w:t>
      </w:r>
      <w:r w:rsidR="008C1136" w:rsidRPr="000D7E17">
        <w:rPr>
          <w:lang w:val="el-GR"/>
        </w:rPr>
        <w:t xml:space="preserve"> , ήτοι σύνολο </w:t>
      </w:r>
      <w:r w:rsidR="00232F41">
        <w:rPr>
          <w:lang w:val="el-GR"/>
        </w:rPr>
        <w:t>€</w:t>
      </w:r>
      <w:r w:rsidR="008C1136" w:rsidRPr="000D7E17">
        <w:rPr>
          <w:lang w:val="el-GR"/>
        </w:rPr>
        <w:t>70,6 εκ.</w:t>
      </w:r>
    </w:p>
    <w:p w14:paraId="3D0C9BA4" w14:textId="77777777" w:rsidR="008C1136" w:rsidRDefault="008C1136" w:rsidP="005779A6">
      <w:pPr>
        <w:jc w:val="both"/>
        <w:rPr>
          <w:rFonts w:cs="Calibri"/>
          <w:lang w:val="el-GR"/>
        </w:rPr>
      </w:pPr>
      <w:bookmarkStart w:id="30" w:name="_Hlk489348239"/>
      <w:r>
        <w:rPr>
          <w:rFonts w:cs="Calibri"/>
          <w:lang w:val="el-GR"/>
        </w:rPr>
        <w:t xml:space="preserve">Ως προς τους </w:t>
      </w:r>
      <w:r w:rsidRPr="00BE2C45">
        <w:rPr>
          <w:rFonts w:cs="Calibri"/>
          <w:b/>
          <w:lang w:val="el-GR"/>
        </w:rPr>
        <w:t>μηχανισμούς συντονισμού και αξιοποίησης των λοιπών χρηματοδοτικών εργαλείων</w:t>
      </w:r>
      <w:r>
        <w:rPr>
          <w:rFonts w:cs="Calibri"/>
          <w:lang w:val="el-GR"/>
        </w:rPr>
        <w:t xml:space="preserve"> </w:t>
      </w:r>
      <w:r w:rsidR="00A66A99">
        <w:rPr>
          <w:rFonts w:cs="Calibri"/>
          <w:lang w:val="el-GR"/>
        </w:rPr>
        <w:t xml:space="preserve">της ΕΕ </w:t>
      </w:r>
      <w:r>
        <w:rPr>
          <w:rFonts w:cs="Calibri"/>
          <w:lang w:val="el-GR"/>
        </w:rPr>
        <w:t>εντοπίζονται τα ακόλουθα:</w:t>
      </w:r>
    </w:p>
    <w:p w14:paraId="27BBC350" w14:textId="77777777" w:rsidR="008C1136" w:rsidRPr="00BE2C45" w:rsidRDefault="008C1136" w:rsidP="00A07250">
      <w:pPr>
        <w:numPr>
          <w:ilvl w:val="0"/>
          <w:numId w:val="29"/>
        </w:numPr>
        <w:tabs>
          <w:tab w:val="clear" w:pos="1134"/>
        </w:tabs>
        <w:ind w:left="426" w:hanging="284"/>
        <w:jc w:val="both"/>
        <w:rPr>
          <w:b/>
          <w:i/>
          <w:lang w:val="el-GR"/>
        </w:rPr>
      </w:pPr>
      <w:bookmarkStart w:id="31" w:name="_Hlk487786255"/>
      <w:r w:rsidRPr="00BE2C45">
        <w:rPr>
          <w:b/>
          <w:i/>
          <w:lang w:val="el-GR"/>
        </w:rPr>
        <w:t>Προγράμματα Ευρωπαϊκής Εδαφικής Συνεργασίας</w:t>
      </w:r>
      <w:r w:rsidR="00A75CEF">
        <w:rPr>
          <w:b/>
          <w:i/>
          <w:lang w:val="el-GR"/>
        </w:rPr>
        <w:t xml:space="preserve"> (ΕΕΣ)</w:t>
      </w:r>
    </w:p>
    <w:p w14:paraId="027611D3" w14:textId="103F90CA" w:rsidR="008C15F3" w:rsidRPr="00CA5771" w:rsidRDefault="008C15F3" w:rsidP="008C15F3">
      <w:pPr>
        <w:jc w:val="both"/>
        <w:rPr>
          <w:lang w:val="el-GR"/>
        </w:rPr>
      </w:pPr>
      <w:r w:rsidRPr="00CA5771">
        <w:rPr>
          <w:lang w:val="el-GR"/>
        </w:rPr>
        <w:t>Η συνύπαρξη της Εθνικής και Διαχειριστικής Αρχής για τα Προγράμματα της Πολιτικής Συνοχής και του Εθνικού Συντονιστή για τα Προγράμματα ΕΕΣ κάτω από τον ίδιο φορέα (ΓΔ ΕΠΣΑ) διασφαλίζει σε σημαντικό βαθμό τον συντον</w:t>
      </w:r>
      <w:r>
        <w:rPr>
          <w:lang w:val="el-GR"/>
        </w:rPr>
        <w:t>ισμό/συνεργασία μεταξύ των δύο, τόσο στο στάδιο του προγραμματισμού όσο και της εφαρμογής  των εθνικών πολιτικών.</w:t>
      </w:r>
    </w:p>
    <w:p w14:paraId="069678B0" w14:textId="77777777" w:rsidR="008C15F3" w:rsidRPr="00CA5771" w:rsidRDefault="008C15F3" w:rsidP="008C15F3">
      <w:pPr>
        <w:jc w:val="both"/>
        <w:rPr>
          <w:lang w:val="el-GR"/>
        </w:rPr>
      </w:pPr>
      <w:r w:rsidRPr="00CA5771">
        <w:rPr>
          <w:lang w:val="el-GR"/>
        </w:rPr>
        <w:t xml:space="preserve">Παράλληλα, τόσο με την εκπροσώπηση στις Επιτροπές Παρακολούθησης όσο και με εσωτερικές διευθετήσεις επικοινωνίας και συνεργασίας στη </w:t>
      </w:r>
      <w:r>
        <w:rPr>
          <w:lang w:val="el-GR"/>
        </w:rPr>
        <w:t>ΓΔ ΕΠΣΑ</w:t>
      </w:r>
      <w:r w:rsidRPr="00CA5771">
        <w:rPr>
          <w:lang w:val="el-GR"/>
        </w:rPr>
        <w:t xml:space="preserve"> διασφαλίζεται περαιτέρω ο εντοπισμός συνεργειών και η αποφυγή υπερκαλύψεων μεταξύ των έργων που συγχρηματοδοτούνται από τα Προγράμματα του Στόχου 1 και 2</w:t>
      </w:r>
      <w:r>
        <w:rPr>
          <w:lang w:val="el-GR"/>
        </w:rPr>
        <w:t xml:space="preserve">. </w:t>
      </w:r>
    </w:p>
    <w:p w14:paraId="55A0B1C9" w14:textId="77777777" w:rsidR="008C15F3" w:rsidRDefault="008C15F3" w:rsidP="008C15F3">
      <w:pPr>
        <w:jc w:val="both"/>
        <w:rPr>
          <w:lang w:val="el-GR"/>
        </w:rPr>
      </w:pPr>
      <w:r>
        <w:rPr>
          <w:lang w:val="el-GR"/>
        </w:rPr>
        <w:t xml:space="preserve">Για την προγραμματική περίοδο 2014-2020, ενδεικτικά αναφέρεται ότι στα πλαίσια των πρώτων προσκλήσεων υποβολής προτάσεων των Προγραμμάτων Διαπεριφερειακής Συνεργασίας </w:t>
      </w:r>
      <w:r>
        <w:t>Interreg</w:t>
      </w:r>
      <w:r w:rsidRPr="00E546D2">
        <w:rPr>
          <w:lang w:val="el-GR"/>
        </w:rPr>
        <w:t xml:space="preserve"> </w:t>
      </w:r>
      <w:r>
        <w:t>Europe</w:t>
      </w:r>
      <w:r w:rsidRPr="00E546D2">
        <w:rPr>
          <w:lang w:val="el-GR"/>
        </w:rPr>
        <w:t xml:space="preserve"> </w:t>
      </w:r>
      <w:r>
        <w:rPr>
          <w:lang w:val="el-GR"/>
        </w:rPr>
        <w:t xml:space="preserve">και Διακρατικής Συνεργασίας </w:t>
      </w:r>
      <w:r>
        <w:t>Med</w:t>
      </w:r>
      <w:r>
        <w:rPr>
          <w:lang w:val="el-GR"/>
        </w:rPr>
        <w:t>,</w:t>
      </w:r>
      <w:r w:rsidRPr="00E546D2">
        <w:rPr>
          <w:lang w:val="el-GR"/>
        </w:rPr>
        <w:t xml:space="preserve"> </w:t>
      </w:r>
      <w:r>
        <w:rPr>
          <w:lang w:val="el-GR"/>
        </w:rPr>
        <w:t xml:space="preserve">εγκρίθηκαν έργα σε τομείς όπως </w:t>
      </w:r>
      <w:r w:rsidRPr="00E27CFD">
        <w:rPr>
          <w:lang w:val="el-GR"/>
        </w:rPr>
        <w:t xml:space="preserve">το περιβάλλον, </w:t>
      </w:r>
      <w:r w:rsidRPr="00E27CFD">
        <w:t>o</w:t>
      </w:r>
      <w:r w:rsidRPr="00E27CFD">
        <w:rPr>
          <w:lang w:val="el-GR"/>
        </w:rPr>
        <w:t xml:space="preserve"> βιώσιμος τουρισμός, </w:t>
      </w:r>
      <w:r>
        <w:rPr>
          <w:lang w:val="el-GR"/>
        </w:rPr>
        <w:t xml:space="preserve">η </w:t>
      </w:r>
      <w:r w:rsidRPr="00E27CFD">
        <w:rPr>
          <w:lang w:val="el-GR"/>
        </w:rPr>
        <w:t>ενεργειακή απόδοση με τη χρήση ανανεώσιμων πηγών ενέργειας</w:t>
      </w:r>
      <w:r>
        <w:rPr>
          <w:lang w:val="el-GR"/>
        </w:rPr>
        <w:t>,</w:t>
      </w:r>
      <w:r w:rsidRPr="00E27CFD">
        <w:rPr>
          <w:lang w:val="el-GR"/>
        </w:rPr>
        <w:t xml:space="preserve"> </w:t>
      </w:r>
      <w:r>
        <w:rPr>
          <w:lang w:val="el-GR"/>
        </w:rPr>
        <w:t xml:space="preserve">η ηλεκτρονική υγεία </w:t>
      </w:r>
      <w:r w:rsidRPr="00E27CFD">
        <w:rPr>
          <w:lang w:val="el-GR"/>
        </w:rPr>
        <w:t xml:space="preserve">και </w:t>
      </w:r>
      <w:r>
        <w:rPr>
          <w:lang w:val="el-GR"/>
        </w:rPr>
        <w:t xml:space="preserve">η </w:t>
      </w:r>
      <w:r w:rsidRPr="00E27CFD">
        <w:rPr>
          <w:lang w:val="el-GR"/>
        </w:rPr>
        <w:t>αστική κινητικότητα</w:t>
      </w:r>
      <w:r>
        <w:rPr>
          <w:lang w:val="el-GR"/>
        </w:rPr>
        <w:t>,</w:t>
      </w:r>
      <w:r w:rsidRPr="00E27CFD">
        <w:rPr>
          <w:lang w:val="el-GR"/>
        </w:rPr>
        <w:t xml:space="preserve"> ενώ το 2017 θα εγκριθούν έργα από το Πρόγραμμα Διασυνοριακής Συνεργασίας Ελλάδα-Κύπρος 2014-2020 σε στρατηγικούς τομείς συνεργασίας. Αναμένεται ότι μέσα από την υλοποίηση των έργων αυτών θα αναδειχθούν καλές πρακτικές</w:t>
      </w:r>
      <w:r>
        <w:rPr>
          <w:lang w:val="el-GR"/>
        </w:rPr>
        <w:t>,</w:t>
      </w:r>
      <w:r w:rsidRPr="00E27CFD">
        <w:rPr>
          <w:lang w:val="el-GR"/>
        </w:rPr>
        <w:t xml:space="preserve"> που</w:t>
      </w:r>
      <w:r>
        <w:rPr>
          <w:lang w:val="el-GR"/>
        </w:rPr>
        <w:t xml:space="preserve"> </w:t>
      </w:r>
      <w:r w:rsidRPr="00E27CFD">
        <w:rPr>
          <w:lang w:val="el-GR"/>
        </w:rPr>
        <w:t>μπορούν να αποτελέσουν τη βάση για χρηματοδότηση από τα Εθνικά Επιχειρησιακά Προγράμματα σε μεγαλύτερη κλίμακα.</w:t>
      </w:r>
      <w:r w:rsidRPr="008F62E0">
        <w:rPr>
          <w:lang w:val="el-GR"/>
        </w:rPr>
        <w:t xml:space="preserve"> </w:t>
      </w:r>
    </w:p>
    <w:p w14:paraId="69409AA5" w14:textId="10D13F2F" w:rsidR="008C1136" w:rsidRDefault="008C15F3" w:rsidP="008C15F3">
      <w:pPr>
        <w:jc w:val="both"/>
        <w:rPr>
          <w:lang w:val="el-GR"/>
        </w:rPr>
      </w:pPr>
      <w:r>
        <w:rPr>
          <w:lang w:val="el-GR"/>
        </w:rPr>
        <w:t xml:space="preserve">Αναφέρεται επίσης ότι στα πλαίσια υλοποίησης του Προγράμματος </w:t>
      </w:r>
      <w:r>
        <w:t>Interreg</w:t>
      </w:r>
      <w:r w:rsidRPr="004B5672">
        <w:rPr>
          <w:lang w:val="el-GR"/>
        </w:rPr>
        <w:t xml:space="preserve"> </w:t>
      </w:r>
      <w:r>
        <w:t>Europe</w:t>
      </w:r>
      <w:r>
        <w:rPr>
          <w:lang w:val="el-GR"/>
        </w:rPr>
        <w:t>, η Διαχειριστική Αρχή, σε συνεργασία με το Εθνικό Συντονιστή, έχει εμπλακεί άμεσα</w:t>
      </w:r>
      <w:r w:rsidRPr="004B5672">
        <w:rPr>
          <w:lang w:val="el-GR"/>
        </w:rPr>
        <w:t xml:space="preserve"> </w:t>
      </w:r>
      <w:r>
        <w:rPr>
          <w:lang w:val="el-GR"/>
        </w:rPr>
        <w:t>στο στάδιο υποβολής προτάσεων, με την παραχώρηση επιστολής στήριξης (</w:t>
      </w:r>
      <w:r>
        <w:t>letter</w:t>
      </w:r>
      <w:r w:rsidRPr="003E4D9A">
        <w:rPr>
          <w:lang w:val="el-GR"/>
        </w:rPr>
        <w:t xml:space="preserve"> </w:t>
      </w:r>
      <w:r>
        <w:t>of</w:t>
      </w:r>
      <w:r w:rsidRPr="003E4D9A">
        <w:rPr>
          <w:lang w:val="el-GR"/>
        </w:rPr>
        <w:t xml:space="preserve"> </w:t>
      </w:r>
      <w:r>
        <w:t>support</w:t>
      </w:r>
      <w:r>
        <w:rPr>
          <w:lang w:val="el-GR"/>
        </w:rPr>
        <w:t xml:space="preserve"> ) σε έργα που αφορούσαν στα Εθνικά  Επιχειρησιακά Προγράμματα τα οποία συγχρηματοδοτούνται από τα ΕΔΕΤ. Σημειώνεται ότι στα εν λόγω έργα η ΔΑ συμμετέχει και ως μέλος του </w:t>
      </w:r>
      <w:r>
        <w:t>Stakeholders</w:t>
      </w:r>
      <w:r w:rsidRPr="004611BC">
        <w:rPr>
          <w:lang w:val="el-GR"/>
        </w:rPr>
        <w:t xml:space="preserve"> </w:t>
      </w:r>
      <w:r>
        <w:t>Group</w:t>
      </w:r>
      <w:r w:rsidRPr="004611BC">
        <w:rPr>
          <w:lang w:val="el-GR"/>
        </w:rPr>
        <w:t>.</w:t>
      </w:r>
    </w:p>
    <w:p w14:paraId="6E7989D3" w14:textId="77777777" w:rsidR="00BE2C45" w:rsidRPr="00BE2C45" w:rsidRDefault="00BE2C45" w:rsidP="00A07250">
      <w:pPr>
        <w:numPr>
          <w:ilvl w:val="0"/>
          <w:numId w:val="29"/>
        </w:numPr>
        <w:tabs>
          <w:tab w:val="clear" w:pos="1134"/>
        </w:tabs>
        <w:ind w:left="426" w:hanging="284"/>
        <w:jc w:val="both"/>
        <w:rPr>
          <w:b/>
          <w:i/>
          <w:lang w:val="el-GR"/>
        </w:rPr>
      </w:pPr>
      <w:bookmarkStart w:id="32" w:name="_Hlk487786375"/>
      <w:bookmarkEnd w:id="30"/>
      <w:bookmarkEnd w:id="31"/>
      <w:r>
        <w:rPr>
          <w:b/>
          <w:i/>
          <w:lang w:val="el-GR"/>
        </w:rPr>
        <w:t xml:space="preserve">Λοιπά </w:t>
      </w:r>
      <w:r w:rsidRPr="00BE2C45">
        <w:rPr>
          <w:b/>
          <w:i/>
          <w:lang w:val="el-GR"/>
        </w:rPr>
        <w:t xml:space="preserve">Προγράμματα </w:t>
      </w:r>
    </w:p>
    <w:p w14:paraId="47A95458" w14:textId="1660CCA6" w:rsidR="001B1260" w:rsidRDefault="001B1260" w:rsidP="00047EE1">
      <w:pPr>
        <w:jc w:val="both"/>
        <w:rPr>
          <w:lang w:val="el-GR"/>
        </w:rPr>
      </w:pPr>
      <w:r>
        <w:rPr>
          <w:lang w:val="el-GR"/>
        </w:rPr>
        <w:t>Υπάρχουν ενεργοποιημένοι μηχανισμοί συντονισμού των Αρχών που εμπλέκονται στη διαχείριση των ΕΔΕΤ και των φορέων που είναι υπεύθυνοι για την προώθηση και αξιοποίηση άλλων Ευρωπαϊκών Προγραμμάτων/Πρωτοβουλιών/Εργαλείων, με σκοπό την όσο το δυνατό μεγαλύτερη επίτευξη συνεργειών και συμπληρωματικότητας μεταξύ τους</w:t>
      </w:r>
      <w:r w:rsidR="00F325F0">
        <w:rPr>
          <w:lang w:val="el-GR"/>
        </w:rPr>
        <w:t>:</w:t>
      </w:r>
    </w:p>
    <w:p w14:paraId="46159500" w14:textId="77777777" w:rsidR="001B1260" w:rsidRPr="000C288B" w:rsidRDefault="00F325F0" w:rsidP="001D583B">
      <w:pPr>
        <w:pStyle w:val="ListParagraph"/>
        <w:numPr>
          <w:ilvl w:val="0"/>
          <w:numId w:val="39"/>
        </w:numPr>
        <w:tabs>
          <w:tab w:val="left" w:pos="567"/>
        </w:tabs>
        <w:autoSpaceDE w:val="0"/>
        <w:autoSpaceDN w:val="0"/>
        <w:adjustRightInd w:val="0"/>
        <w:ind w:left="567"/>
        <w:contextualSpacing w:val="0"/>
        <w:jc w:val="both"/>
        <w:rPr>
          <w:rFonts w:cs="Calibri"/>
          <w:lang w:val="el-GR" w:eastAsia="en-GB"/>
        </w:rPr>
      </w:pPr>
      <w:r w:rsidRPr="000C288B">
        <w:rPr>
          <w:i/>
          <w:lang w:val="el-GR"/>
        </w:rPr>
        <w:t>Ορίζοντας 2020</w:t>
      </w:r>
      <w:r w:rsidRPr="000C288B">
        <w:rPr>
          <w:lang w:val="el-GR"/>
        </w:rPr>
        <w:t xml:space="preserve">: </w:t>
      </w:r>
      <w:r w:rsidR="000C288B">
        <w:rPr>
          <w:lang w:val="el-GR"/>
        </w:rPr>
        <w:t xml:space="preserve">Μέσα </w:t>
      </w:r>
      <w:r w:rsidR="00FC21A9" w:rsidRPr="000C288B">
        <w:rPr>
          <w:lang w:val="el-GR"/>
        </w:rPr>
        <w:t xml:space="preserve">από τα εθνικά προγράμματα </w:t>
      </w:r>
      <w:r w:rsidRPr="000C288B">
        <w:rPr>
          <w:lang w:val="el-GR"/>
        </w:rPr>
        <w:t>“</w:t>
      </w:r>
      <w:r>
        <w:t>RESTART</w:t>
      </w:r>
      <w:r w:rsidRPr="000C288B">
        <w:rPr>
          <w:lang w:val="el-GR"/>
        </w:rPr>
        <w:t xml:space="preserve"> 2016-2020” για </w:t>
      </w:r>
      <w:r w:rsidR="00FC21A9" w:rsidRPr="000C288B">
        <w:rPr>
          <w:lang w:val="el-GR"/>
        </w:rPr>
        <w:t>έρευνα, τεχνολογική ανάπτυξη και καινοτομία χρηματοδοτούν</w:t>
      </w:r>
      <w:r w:rsidR="00EC6DDD">
        <w:rPr>
          <w:lang w:val="el-GR"/>
        </w:rPr>
        <w:t>ται</w:t>
      </w:r>
      <w:r w:rsidR="00FC21A9" w:rsidRPr="000C288B">
        <w:rPr>
          <w:lang w:val="el-GR"/>
        </w:rPr>
        <w:t xml:space="preserve"> κυπριακές προτάσεις που συμμετείχαν στα </w:t>
      </w:r>
      <w:r w:rsidR="00FC21A9" w:rsidRPr="000C288B">
        <w:rPr>
          <w:lang w:val="el-GR"/>
        </w:rPr>
        <w:lastRenderedPageBreak/>
        <w:t>προγράμματα του Ορίζοντα 2020 “</w:t>
      </w:r>
      <w:r w:rsidR="000C288B" w:rsidRPr="000C288B">
        <w:rPr>
          <w:rFonts w:cs="Calibri"/>
          <w:lang w:val="en-GB" w:eastAsia="en-GB"/>
        </w:rPr>
        <w:t>ERC</w:t>
      </w:r>
      <w:r w:rsidR="000C288B" w:rsidRPr="000C288B">
        <w:rPr>
          <w:rFonts w:cs="Calibri"/>
          <w:lang w:val="el-GR" w:eastAsia="en-GB"/>
        </w:rPr>
        <w:t xml:space="preserve"> </w:t>
      </w:r>
      <w:r w:rsidR="000C288B" w:rsidRPr="000C288B">
        <w:rPr>
          <w:rFonts w:cs="Calibri"/>
          <w:lang w:val="en-GB" w:eastAsia="en-GB"/>
        </w:rPr>
        <w:t>Starting</w:t>
      </w:r>
      <w:r w:rsidR="000C288B" w:rsidRPr="000C288B">
        <w:rPr>
          <w:rFonts w:cs="Calibri"/>
          <w:lang w:val="el-GR" w:eastAsia="en-GB"/>
        </w:rPr>
        <w:t xml:space="preserve"> </w:t>
      </w:r>
      <w:r w:rsidR="000C288B" w:rsidRPr="000C288B">
        <w:rPr>
          <w:rFonts w:cs="Calibri"/>
          <w:lang w:val="en-GB" w:eastAsia="en-GB"/>
        </w:rPr>
        <w:t>Grant</w:t>
      </w:r>
      <w:r w:rsidR="000C288B" w:rsidRPr="000C288B">
        <w:rPr>
          <w:rFonts w:cs="Calibri"/>
          <w:lang w:val="el-GR" w:eastAsia="en-GB"/>
        </w:rPr>
        <w:t>”, “</w:t>
      </w:r>
      <w:r w:rsidR="000C288B" w:rsidRPr="000C288B">
        <w:rPr>
          <w:rFonts w:cs="Calibri"/>
          <w:lang w:val="en-GB" w:eastAsia="en-GB"/>
        </w:rPr>
        <w:t>ERC</w:t>
      </w:r>
      <w:r w:rsidR="000C288B" w:rsidRPr="000C288B">
        <w:rPr>
          <w:rFonts w:cs="Calibri"/>
          <w:lang w:val="el-GR" w:eastAsia="en-GB"/>
        </w:rPr>
        <w:t>-</w:t>
      </w:r>
      <w:r w:rsidR="000C288B" w:rsidRPr="000C288B">
        <w:rPr>
          <w:rFonts w:cs="Calibri"/>
          <w:lang w:val="en-GB" w:eastAsia="en-GB"/>
        </w:rPr>
        <w:t>Consolidator</w:t>
      </w:r>
      <w:r w:rsidR="000C288B" w:rsidRPr="000C288B">
        <w:rPr>
          <w:rFonts w:cs="Calibri"/>
          <w:lang w:val="el-GR" w:eastAsia="en-GB"/>
        </w:rPr>
        <w:t xml:space="preserve"> </w:t>
      </w:r>
      <w:r w:rsidR="000C288B" w:rsidRPr="000C288B">
        <w:rPr>
          <w:rFonts w:cs="Calibri"/>
          <w:lang w:val="en-GB" w:eastAsia="en-GB"/>
        </w:rPr>
        <w:t>Grant</w:t>
      </w:r>
      <w:r w:rsidR="000C288B" w:rsidRPr="000C288B">
        <w:rPr>
          <w:rFonts w:cs="Calibri"/>
          <w:lang w:val="el-GR" w:eastAsia="en-GB"/>
        </w:rPr>
        <w:t>”, “</w:t>
      </w:r>
      <w:r w:rsidR="000C288B" w:rsidRPr="000C288B">
        <w:rPr>
          <w:rFonts w:cs="Calibri"/>
          <w:lang w:val="en-GB" w:eastAsia="en-GB"/>
        </w:rPr>
        <w:t>Marie</w:t>
      </w:r>
      <w:r w:rsidR="000C288B" w:rsidRPr="000C288B">
        <w:rPr>
          <w:rFonts w:cs="Calibri"/>
          <w:lang w:val="el-GR" w:eastAsia="en-GB"/>
        </w:rPr>
        <w:t xml:space="preserve"> </w:t>
      </w:r>
      <w:r w:rsidR="000C288B" w:rsidRPr="000C288B">
        <w:rPr>
          <w:rFonts w:cs="Calibri"/>
          <w:lang w:val="en-GB" w:eastAsia="en-GB"/>
        </w:rPr>
        <w:t>Sklod</w:t>
      </w:r>
      <w:r w:rsidR="000C288B" w:rsidRPr="000C288B">
        <w:rPr>
          <w:rFonts w:cs="Calibri"/>
          <w:lang w:val="el-GR" w:eastAsia="en-GB"/>
        </w:rPr>
        <w:t>ο</w:t>
      </w:r>
      <w:r w:rsidR="000C288B" w:rsidRPr="000C288B">
        <w:rPr>
          <w:rFonts w:cs="Calibri"/>
          <w:lang w:val="en-GB" w:eastAsia="en-GB"/>
        </w:rPr>
        <w:t>wska</w:t>
      </w:r>
      <w:r w:rsidR="000C288B" w:rsidRPr="000C288B">
        <w:rPr>
          <w:rFonts w:cs="Calibri"/>
          <w:lang w:val="el-GR" w:eastAsia="en-GB"/>
        </w:rPr>
        <w:t xml:space="preserve"> </w:t>
      </w:r>
      <w:r w:rsidR="000C288B" w:rsidRPr="000C288B">
        <w:rPr>
          <w:rFonts w:cs="Calibri"/>
          <w:lang w:val="en-GB" w:eastAsia="en-GB"/>
        </w:rPr>
        <w:t>Curie</w:t>
      </w:r>
      <w:r w:rsidR="000C288B" w:rsidRPr="000C288B">
        <w:rPr>
          <w:rFonts w:cs="Calibri"/>
          <w:lang w:val="el-GR" w:eastAsia="en-GB"/>
        </w:rPr>
        <w:t xml:space="preserve"> </w:t>
      </w:r>
      <w:r w:rsidR="000C288B" w:rsidRPr="000C288B">
        <w:rPr>
          <w:rFonts w:cs="Calibri"/>
          <w:lang w:val="en-GB" w:eastAsia="en-GB"/>
        </w:rPr>
        <w:t>Actions</w:t>
      </w:r>
      <w:r w:rsidR="000C288B" w:rsidRPr="000C288B">
        <w:rPr>
          <w:rFonts w:cs="Calibri"/>
          <w:lang w:val="el-GR" w:eastAsia="en-GB"/>
        </w:rPr>
        <w:t>” και “</w:t>
      </w:r>
      <w:r w:rsidR="000C288B" w:rsidRPr="000C288B">
        <w:rPr>
          <w:rFonts w:cs="Calibri"/>
          <w:lang w:val="en-GB" w:eastAsia="en-GB"/>
        </w:rPr>
        <w:t>SME</w:t>
      </w:r>
      <w:r w:rsidR="000C288B" w:rsidRPr="000C288B">
        <w:rPr>
          <w:rFonts w:cs="Calibri"/>
          <w:lang w:val="el-GR" w:eastAsia="en-GB"/>
        </w:rPr>
        <w:t xml:space="preserve"> </w:t>
      </w:r>
      <w:r w:rsidR="000C288B" w:rsidRPr="000C288B">
        <w:rPr>
          <w:rFonts w:cs="Calibri"/>
          <w:lang w:val="en-GB" w:eastAsia="en-GB"/>
        </w:rPr>
        <w:t>Instrument</w:t>
      </w:r>
      <w:r w:rsidR="000C288B" w:rsidRPr="000C288B">
        <w:rPr>
          <w:rFonts w:cs="Calibri"/>
          <w:lang w:val="el-GR" w:eastAsia="en-GB"/>
        </w:rPr>
        <w:t xml:space="preserve">”, οι οποίες κρίθηκαν ως επιλέξιμες για χρηματοδότηση από την Ευρωπαϊκή Επιτροπή, </w:t>
      </w:r>
      <w:r w:rsidR="000C288B" w:rsidRPr="00EC6DDD">
        <w:rPr>
          <w:rFonts w:cs="Calibri"/>
          <w:lang w:val="el-GR" w:eastAsia="en-GB"/>
        </w:rPr>
        <w:t>αλλά δεν χρηματοδοτήθηκαν λόγω εξαντλήσεως του προϋπολογισμού</w:t>
      </w:r>
      <w:r w:rsidR="000C288B" w:rsidRPr="000C288B">
        <w:rPr>
          <w:rFonts w:cs="Calibri"/>
          <w:lang w:val="el-GR" w:eastAsia="en-GB"/>
        </w:rPr>
        <w:t>.</w:t>
      </w:r>
      <w:r w:rsidR="000C288B">
        <w:rPr>
          <w:rFonts w:cs="Calibri"/>
          <w:lang w:val="el-GR" w:eastAsia="en-GB"/>
        </w:rPr>
        <w:t xml:space="preserve"> </w:t>
      </w:r>
      <w:r w:rsidR="00EC6DDD">
        <w:rPr>
          <w:rFonts w:cs="Calibri"/>
          <w:lang w:val="el-GR" w:eastAsia="en-GB"/>
        </w:rPr>
        <w:t>Επίσης, μέχρι τις 31/12/16</w:t>
      </w:r>
      <w:r w:rsidR="006C6524">
        <w:rPr>
          <w:rFonts w:cs="Calibri"/>
          <w:lang w:val="el-GR" w:eastAsia="en-GB"/>
        </w:rPr>
        <w:t>,</w:t>
      </w:r>
      <w:r w:rsidR="00EC6DDD">
        <w:rPr>
          <w:rFonts w:cs="Calibri"/>
          <w:lang w:val="el-GR" w:eastAsia="en-GB"/>
        </w:rPr>
        <w:t xml:space="preserve"> 3 κυπριακές προτάσεις που συμμετείχαν </w:t>
      </w:r>
      <w:r w:rsidR="00D06571">
        <w:rPr>
          <w:rFonts w:cs="Calibri"/>
          <w:lang w:val="el-GR" w:eastAsia="en-GB"/>
        </w:rPr>
        <w:t>στην 1</w:t>
      </w:r>
      <w:r w:rsidR="00D06571" w:rsidRPr="00D06571">
        <w:rPr>
          <w:rFonts w:cs="Calibri"/>
          <w:vertAlign w:val="superscript"/>
          <w:lang w:val="el-GR" w:eastAsia="en-GB"/>
        </w:rPr>
        <w:t>η</w:t>
      </w:r>
      <w:r w:rsidR="00D06571">
        <w:rPr>
          <w:rFonts w:cs="Calibri"/>
          <w:lang w:val="el-GR" w:eastAsia="en-GB"/>
        </w:rPr>
        <w:t xml:space="preserve"> Πρόσκληση του</w:t>
      </w:r>
      <w:r w:rsidR="00EC6DDD">
        <w:rPr>
          <w:rFonts w:cs="Calibri"/>
          <w:lang w:val="el-GR" w:eastAsia="en-GB"/>
        </w:rPr>
        <w:t xml:space="preserve"> πρ</w:t>
      </w:r>
      <w:r w:rsidR="00D06571">
        <w:rPr>
          <w:rFonts w:cs="Calibri"/>
          <w:lang w:val="el-GR" w:eastAsia="en-GB"/>
        </w:rPr>
        <w:t>ογράμματος</w:t>
      </w:r>
      <w:r w:rsidR="00EC6DDD">
        <w:rPr>
          <w:rFonts w:cs="Calibri"/>
          <w:lang w:val="el-GR" w:eastAsia="en-GB"/>
        </w:rPr>
        <w:t xml:space="preserve"> </w:t>
      </w:r>
      <w:r w:rsidR="00405E39" w:rsidRPr="000C288B">
        <w:rPr>
          <w:rFonts w:cs="Calibri"/>
          <w:lang w:val="el-GR" w:eastAsia="en-GB"/>
        </w:rPr>
        <w:t>“</w:t>
      </w:r>
      <w:r w:rsidR="00EC6DDD">
        <w:rPr>
          <w:rFonts w:cs="Calibri"/>
          <w:lang w:eastAsia="en-GB"/>
        </w:rPr>
        <w:t>Teaming</w:t>
      </w:r>
      <w:r w:rsidR="00405E39" w:rsidRPr="000C288B">
        <w:rPr>
          <w:rFonts w:cs="Calibri"/>
          <w:lang w:val="el-GR" w:eastAsia="en-GB"/>
        </w:rPr>
        <w:t>”</w:t>
      </w:r>
      <w:r w:rsidR="00EC6DDD">
        <w:rPr>
          <w:rFonts w:cs="Calibri"/>
          <w:lang w:val="el-GR" w:eastAsia="en-GB"/>
        </w:rPr>
        <w:t xml:space="preserve"> του Ορίζοντα 2020</w:t>
      </w:r>
      <w:r w:rsidR="00D06571">
        <w:rPr>
          <w:rFonts w:cs="Calibri"/>
          <w:lang w:val="el-GR" w:eastAsia="en-GB"/>
        </w:rPr>
        <w:t>,</w:t>
      </w:r>
      <w:r w:rsidR="00EC6DDD">
        <w:rPr>
          <w:rFonts w:cs="Calibri"/>
          <w:lang w:val="el-GR" w:eastAsia="en-GB"/>
        </w:rPr>
        <w:t xml:space="preserve"> είχαν χρηματοδοτηθεί από ένα άλλο πρόγραμμα</w:t>
      </w:r>
      <w:r w:rsidR="00047EE1" w:rsidRPr="00047EE1">
        <w:rPr>
          <w:rFonts w:cs="Calibri"/>
          <w:lang w:val="el-GR" w:eastAsia="en-GB"/>
        </w:rPr>
        <w:t xml:space="preserve"> </w:t>
      </w:r>
      <w:r w:rsidR="00EC6DDD" w:rsidRPr="000C288B">
        <w:rPr>
          <w:lang w:val="el-GR"/>
        </w:rPr>
        <w:t>“</w:t>
      </w:r>
      <w:r w:rsidR="00EC6DDD">
        <w:t>RESTART</w:t>
      </w:r>
      <w:r w:rsidR="00EC6DDD" w:rsidRPr="000C288B">
        <w:rPr>
          <w:lang w:val="el-GR"/>
        </w:rPr>
        <w:t xml:space="preserve">” </w:t>
      </w:r>
      <w:r w:rsidR="00EC6DDD">
        <w:rPr>
          <w:lang w:val="el-GR"/>
        </w:rPr>
        <w:t xml:space="preserve">για να </w:t>
      </w:r>
      <w:r w:rsidR="006C6524">
        <w:rPr>
          <w:lang w:val="el-GR"/>
        </w:rPr>
        <w:t>προχωρήσουν στο επόμενο στάδιο αξιολόγησης, που αφορούσε στην ετοιμασία «</w:t>
      </w:r>
      <w:r w:rsidR="00EC6DDD">
        <w:rPr>
          <w:lang w:val="el-GR"/>
        </w:rPr>
        <w:t>επιχειρηματικ</w:t>
      </w:r>
      <w:r w:rsidR="006C6524">
        <w:rPr>
          <w:lang w:val="el-GR"/>
        </w:rPr>
        <w:t>ού πλάνου</w:t>
      </w:r>
      <w:r w:rsidR="00EC6DDD">
        <w:rPr>
          <w:lang w:val="el-GR"/>
        </w:rPr>
        <w:t>»</w:t>
      </w:r>
      <w:r w:rsidR="006C6524">
        <w:rPr>
          <w:lang w:val="el-GR"/>
        </w:rPr>
        <w:t>.</w:t>
      </w:r>
      <w:r w:rsidR="00D06571">
        <w:rPr>
          <w:lang w:val="el-GR"/>
        </w:rPr>
        <w:t xml:space="preserve"> </w:t>
      </w:r>
      <w:r w:rsidR="006C6524">
        <w:rPr>
          <w:lang w:val="el-GR"/>
        </w:rPr>
        <w:t xml:space="preserve">Τα προαναφερθέντα εθνικά προγράμματα </w:t>
      </w:r>
      <w:r w:rsidR="006C6524" w:rsidRPr="000C288B">
        <w:rPr>
          <w:lang w:val="el-GR"/>
        </w:rPr>
        <w:t>“</w:t>
      </w:r>
      <w:r w:rsidR="006C6524">
        <w:t>RESTART</w:t>
      </w:r>
      <w:r w:rsidR="006C6524" w:rsidRPr="000C288B">
        <w:rPr>
          <w:lang w:val="el-GR"/>
        </w:rPr>
        <w:t>”</w:t>
      </w:r>
      <w:r w:rsidR="006C6524">
        <w:rPr>
          <w:lang w:val="el-GR"/>
        </w:rPr>
        <w:t xml:space="preserve"> </w:t>
      </w:r>
      <w:r w:rsidR="00EC6DDD">
        <w:rPr>
          <w:rFonts w:cs="Calibri"/>
          <w:lang w:val="el-GR" w:eastAsia="en-GB"/>
        </w:rPr>
        <w:t>συγχρηματοδ</w:t>
      </w:r>
      <w:r w:rsidR="006C6524">
        <w:rPr>
          <w:rFonts w:cs="Calibri"/>
          <w:lang w:val="el-GR" w:eastAsia="en-GB"/>
        </w:rPr>
        <w:t xml:space="preserve">οτούνται </w:t>
      </w:r>
      <w:r w:rsidR="00EC6DDD">
        <w:rPr>
          <w:rFonts w:cs="Calibri"/>
          <w:lang w:val="el-GR" w:eastAsia="en-GB"/>
        </w:rPr>
        <w:t>από το ΕΤΠΑ</w:t>
      </w:r>
      <w:r w:rsidR="006C6524">
        <w:rPr>
          <w:rFonts w:cs="Calibri"/>
          <w:lang w:val="el-GR" w:eastAsia="en-GB"/>
        </w:rPr>
        <w:t xml:space="preserve"> μέσω του ΕΠ Ανταγωνιστικότητα και Αειφόρος Ανάπτυξη (Άξονας 1). Στο ίδιο ΕΠ (Άξονας 6)</w:t>
      </w:r>
      <w:r w:rsidR="00D06571">
        <w:rPr>
          <w:rFonts w:cs="Calibri"/>
          <w:lang w:val="el-GR" w:eastAsia="en-GB"/>
        </w:rPr>
        <w:t>,</w:t>
      </w:r>
      <w:r w:rsidR="006C6524">
        <w:rPr>
          <w:rFonts w:cs="Calibri"/>
          <w:lang w:val="el-GR" w:eastAsia="en-GB"/>
        </w:rPr>
        <w:t xml:space="preserve"> προγραμματίζεται να συγχρηματοδοτηθεί </w:t>
      </w:r>
      <w:r w:rsidR="00D06571">
        <w:rPr>
          <w:rFonts w:cs="Calibri"/>
          <w:lang w:val="el-GR" w:eastAsia="en-GB"/>
        </w:rPr>
        <w:t xml:space="preserve">από το ΕΤΠΑ </w:t>
      </w:r>
      <w:r w:rsidR="006C6524">
        <w:rPr>
          <w:rFonts w:cs="Calibri"/>
          <w:lang w:val="el-GR" w:eastAsia="en-GB"/>
        </w:rPr>
        <w:t xml:space="preserve">έργο που υποβλήθηκε από το Δήμο Λευκωσίας </w:t>
      </w:r>
      <w:r w:rsidR="00F377F4">
        <w:rPr>
          <w:rFonts w:cs="Calibri"/>
          <w:lang w:val="el-GR" w:eastAsia="en-GB"/>
        </w:rPr>
        <w:t xml:space="preserve">στο πλαίσιο υλοποίησης της Στρατηγικής του για Ολοκληρωμένη Βιώσιμη Αστική Ανάπτυξη, το οποίο </w:t>
      </w:r>
      <w:r w:rsidR="00D06571">
        <w:rPr>
          <w:rFonts w:cs="Calibri"/>
          <w:lang w:val="el-GR" w:eastAsia="en-GB"/>
        </w:rPr>
        <w:t xml:space="preserve">δρα συμπληρωματικά σε πρόταση που συμμετέχει ο Δήμος Λευκωσίας, η οποία εξασφάλισε χρηματοδότηση από το πρόγραμμα </w:t>
      </w:r>
      <w:r w:rsidR="00D06571" w:rsidRPr="000C288B">
        <w:rPr>
          <w:rFonts w:cs="Calibri"/>
          <w:lang w:val="el-GR" w:eastAsia="en-GB"/>
        </w:rPr>
        <w:t>“</w:t>
      </w:r>
      <w:r w:rsidR="00D06571">
        <w:rPr>
          <w:rFonts w:cs="Calibri"/>
          <w:lang w:eastAsia="en-GB"/>
        </w:rPr>
        <w:t>Teaming</w:t>
      </w:r>
      <w:r w:rsidR="00D06571" w:rsidRPr="000C288B">
        <w:rPr>
          <w:rFonts w:cs="Calibri"/>
          <w:lang w:val="el-GR" w:eastAsia="en-GB"/>
        </w:rPr>
        <w:t>”</w:t>
      </w:r>
      <w:r w:rsidR="00D06571">
        <w:rPr>
          <w:rFonts w:cs="Calibri"/>
          <w:lang w:val="el-GR" w:eastAsia="en-GB"/>
        </w:rPr>
        <w:t>.</w:t>
      </w:r>
    </w:p>
    <w:p w14:paraId="45020375" w14:textId="77777777" w:rsidR="00D06571" w:rsidRPr="00D06571" w:rsidRDefault="00457262" w:rsidP="001D583B">
      <w:pPr>
        <w:pStyle w:val="ListParagraph"/>
        <w:numPr>
          <w:ilvl w:val="0"/>
          <w:numId w:val="39"/>
        </w:numPr>
        <w:ind w:left="567" w:hanging="357"/>
        <w:contextualSpacing w:val="0"/>
        <w:jc w:val="both"/>
        <w:rPr>
          <w:lang w:val="el-GR"/>
        </w:rPr>
      </w:pPr>
      <w:r w:rsidRPr="00D06571">
        <w:rPr>
          <w:i/>
        </w:rPr>
        <w:t>Connecting</w:t>
      </w:r>
      <w:r w:rsidRPr="00D06571">
        <w:rPr>
          <w:i/>
          <w:lang w:val="el-GR"/>
        </w:rPr>
        <w:t xml:space="preserve"> </w:t>
      </w:r>
      <w:r w:rsidRPr="00D06571">
        <w:rPr>
          <w:i/>
        </w:rPr>
        <w:t>Europe</w:t>
      </w:r>
      <w:r w:rsidRPr="00D06571">
        <w:rPr>
          <w:i/>
          <w:lang w:val="el-GR"/>
        </w:rPr>
        <w:t xml:space="preserve"> </w:t>
      </w:r>
      <w:r w:rsidRPr="00D06571">
        <w:rPr>
          <w:i/>
        </w:rPr>
        <w:t>Facility</w:t>
      </w:r>
      <w:r w:rsidRPr="00D06571">
        <w:rPr>
          <w:i/>
          <w:lang w:val="el-GR"/>
        </w:rPr>
        <w:t xml:space="preserve"> (</w:t>
      </w:r>
      <w:r w:rsidRPr="00D06571">
        <w:rPr>
          <w:i/>
        </w:rPr>
        <w:t>CEF</w:t>
      </w:r>
      <w:r w:rsidRPr="00D06571">
        <w:rPr>
          <w:i/>
          <w:lang w:val="el-GR"/>
        </w:rPr>
        <w:t>)</w:t>
      </w:r>
      <w:r w:rsidR="002A4776" w:rsidRPr="00D06571">
        <w:rPr>
          <w:lang w:val="el-GR"/>
        </w:rPr>
        <w:t xml:space="preserve">: </w:t>
      </w:r>
      <w:r w:rsidRPr="00D06571">
        <w:rPr>
          <w:lang w:val="el-GR"/>
        </w:rPr>
        <w:t xml:space="preserve">Στο πλαίσιο υλοποίησης της «Εθνικής Στρατηγικής Βιώσιμης Ανάπτυξης Χερσαίων Μεταφορών και Θαλάσσιων Μεταφορών (Λιμενικών Υποδομών)», συγχρηματοδοτούνται έργα τόσο από το Ταμείο Συνοχής (Άξονας 5 του ΕΠ Ανταγωνιστικότητα και Αειφόρος Ανάπτυξη) όσο και από το </w:t>
      </w:r>
      <w:r w:rsidRPr="00457262">
        <w:t>CEF</w:t>
      </w:r>
      <w:r w:rsidRPr="00D06571">
        <w:rPr>
          <w:lang w:val="el-GR"/>
        </w:rPr>
        <w:t xml:space="preserve">, τα οποία </w:t>
      </w:r>
      <w:r w:rsidR="003255CA" w:rsidRPr="00D06571">
        <w:rPr>
          <w:lang w:val="el-GR"/>
        </w:rPr>
        <w:t>δρουν συμπληρωματικ</w:t>
      </w:r>
      <w:r w:rsidR="00E32094" w:rsidRPr="00D06571">
        <w:rPr>
          <w:lang w:val="el-GR"/>
        </w:rPr>
        <w:t>ά και συμβάλουν σ</w:t>
      </w:r>
      <w:r w:rsidR="003255CA" w:rsidRPr="00D06571">
        <w:rPr>
          <w:lang w:val="el-GR"/>
        </w:rPr>
        <w:t xml:space="preserve">την επίτευξη </w:t>
      </w:r>
      <w:r w:rsidR="00E32094" w:rsidRPr="00D06571">
        <w:rPr>
          <w:lang w:val="el-GR"/>
        </w:rPr>
        <w:t xml:space="preserve">της στρατηγικής </w:t>
      </w:r>
      <w:r w:rsidRPr="00D06571">
        <w:rPr>
          <w:lang w:val="el-GR"/>
        </w:rPr>
        <w:t>επιδίωξη</w:t>
      </w:r>
      <w:r w:rsidR="00E32094" w:rsidRPr="00D06571">
        <w:rPr>
          <w:lang w:val="el-GR"/>
        </w:rPr>
        <w:t>ς</w:t>
      </w:r>
      <w:r w:rsidRPr="00D06571">
        <w:rPr>
          <w:lang w:val="el-GR"/>
        </w:rPr>
        <w:t xml:space="preserve"> της ΣΕΣ</w:t>
      </w:r>
      <w:r w:rsidR="00E32094" w:rsidRPr="00D06571">
        <w:rPr>
          <w:lang w:val="el-GR"/>
        </w:rPr>
        <w:t xml:space="preserve"> για διασύνδεση της Κύπρου </w:t>
      </w:r>
      <w:r w:rsidR="003255CA" w:rsidRPr="00D06571">
        <w:rPr>
          <w:rFonts w:cs="Calibri"/>
          <w:lang w:val="el-GR"/>
        </w:rPr>
        <w:t>με τα Διευρωπαϊκά Δίκτυα Μεταφορών (ΔΕΔ-Μ)</w:t>
      </w:r>
      <w:r w:rsidR="00D06571" w:rsidRPr="00D06571">
        <w:rPr>
          <w:rFonts w:cs="Calibri"/>
          <w:lang w:val="el-GR"/>
        </w:rPr>
        <w:t>, και ειδικότερα με τον Διάδρομο του Κεντρικού Δικτύου</w:t>
      </w:r>
      <w:r w:rsidR="00D06571" w:rsidRPr="00D06571">
        <w:rPr>
          <w:lang w:val="el-GR"/>
        </w:rPr>
        <w:t xml:space="preserve"> Orient/ East-Med, ο οποίος ξεκινά από τη Γερμανία (Αμβούργο), περνά από τις </w:t>
      </w:r>
      <w:r w:rsidR="00AD307C">
        <w:rPr>
          <w:lang w:val="el-GR"/>
        </w:rPr>
        <w:t xml:space="preserve">χώρες </w:t>
      </w:r>
      <w:r w:rsidR="00D06571" w:rsidRPr="00D06571">
        <w:rPr>
          <w:lang w:val="el-GR"/>
        </w:rPr>
        <w:t>Τσεχία, Αυστρία, Σλοβακία, Ουγγαρία, Ρουμανία, Βουλγαρία, Ελλάδα και καταλήγει στην Κύπρο.</w:t>
      </w:r>
    </w:p>
    <w:p w14:paraId="794B6CE7" w14:textId="1FC8190B" w:rsidR="003840DC" w:rsidRPr="00A246FD" w:rsidRDefault="002A4776" w:rsidP="001D583B">
      <w:pPr>
        <w:pStyle w:val="ListParagraph"/>
        <w:numPr>
          <w:ilvl w:val="0"/>
          <w:numId w:val="39"/>
        </w:numPr>
        <w:ind w:left="567" w:hanging="357"/>
        <w:contextualSpacing w:val="0"/>
        <w:jc w:val="both"/>
        <w:rPr>
          <w:lang w:val="el-GR"/>
        </w:rPr>
      </w:pPr>
      <w:r w:rsidRPr="00A246FD">
        <w:rPr>
          <w:i/>
          <w:lang w:val="el-GR"/>
        </w:rPr>
        <w:t xml:space="preserve">Πρόγραμμα </w:t>
      </w:r>
      <w:r w:rsidRPr="00A246FD">
        <w:rPr>
          <w:i/>
        </w:rPr>
        <w:t>LIFE</w:t>
      </w:r>
      <w:r w:rsidR="000B5D1C" w:rsidRPr="00A246FD">
        <w:rPr>
          <w:i/>
          <w:lang w:val="el-GR"/>
        </w:rPr>
        <w:t xml:space="preserve"> για το Περιβάλλον και τη Δράση για το Κλίμα</w:t>
      </w:r>
      <w:r w:rsidR="00457262" w:rsidRPr="00A246FD">
        <w:rPr>
          <w:i/>
          <w:lang w:val="el-GR"/>
        </w:rPr>
        <w:t>:</w:t>
      </w:r>
      <w:r w:rsidR="00AE0C0E" w:rsidRPr="00A246FD">
        <w:rPr>
          <w:lang w:val="el-GR"/>
        </w:rPr>
        <w:t xml:space="preserve"> </w:t>
      </w:r>
      <w:r w:rsidR="00A246FD">
        <w:rPr>
          <w:lang w:val="el-GR"/>
        </w:rPr>
        <w:t>Κατά την τρέχουσα περίοδο, χρηματοδοτούνται στην Κύπρο από</w:t>
      </w:r>
      <w:r w:rsidR="003840DC" w:rsidRPr="00A246FD">
        <w:rPr>
          <w:lang w:val="el-GR"/>
        </w:rPr>
        <w:t xml:space="preserve"> το </w:t>
      </w:r>
      <w:r w:rsidR="00A246FD">
        <w:rPr>
          <w:lang w:val="el-GR"/>
        </w:rPr>
        <w:t>Πρόγραμμα</w:t>
      </w:r>
      <w:r w:rsidR="003840DC" w:rsidRPr="00A246FD">
        <w:rPr>
          <w:lang w:val="el-GR"/>
        </w:rPr>
        <w:t xml:space="preserve"> </w:t>
      </w:r>
      <w:r w:rsidR="003840DC" w:rsidRPr="00A246FD">
        <w:t>LIFE</w:t>
      </w:r>
      <w:r w:rsidR="003840DC" w:rsidRPr="00A246FD">
        <w:rPr>
          <w:b/>
          <w:lang w:val="el-GR"/>
        </w:rPr>
        <w:t xml:space="preserve"> </w:t>
      </w:r>
      <w:r w:rsidR="003840DC" w:rsidRPr="00A246FD">
        <w:rPr>
          <w:lang w:val="el-GR"/>
        </w:rPr>
        <w:t xml:space="preserve"> σειρά έργων</w:t>
      </w:r>
      <w:r w:rsidR="00A246FD">
        <w:rPr>
          <w:lang w:val="el-GR"/>
        </w:rPr>
        <w:t>,</w:t>
      </w:r>
      <w:r w:rsidR="003840DC" w:rsidRPr="00A246FD">
        <w:rPr>
          <w:lang w:val="el-GR"/>
        </w:rPr>
        <w:t xml:space="preserve"> που δρουν συμπληρωματικά προς τις παρεμβάσεις του ΕΠ «Ανταγωνιστικότητα και Αειφόρος Ανάπτυξη» και του Προγράμματος Αγροτικής Ανάπτυξης στους τομείς του περιβάλλοντος και της κλιματικής αλλαγής.</w:t>
      </w:r>
      <w:r w:rsidR="00A246FD" w:rsidRPr="00A246FD">
        <w:rPr>
          <w:lang w:val="el-GR"/>
        </w:rPr>
        <w:t xml:space="preserve"> Ειδικότερα</w:t>
      </w:r>
      <w:r w:rsidR="00A246FD">
        <w:rPr>
          <w:lang w:val="el-GR"/>
        </w:rPr>
        <w:t>,</w:t>
      </w:r>
      <w:r w:rsidR="00A246FD" w:rsidRPr="00A246FD">
        <w:rPr>
          <w:lang w:val="el-GR"/>
        </w:rPr>
        <w:t xml:space="preserve">  στο σκέλος του </w:t>
      </w:r>
      <w:r w:rsidR="00A246FD" w:rsidRPr="00A246FD">
        <w:rPr>
          <w:b/>
          <w:lang w:val="el-GR"/>
        </w:rPr>
        <w:t>Υποπρογράμματος «Περιβάλλον»</w:t>
      </w:r>
      <w:r w:rsidR="00A246FD" w:rsidRPr="00A246FD">
        <w:rPr>
          <w:lang w:val="el-GR"/>
        </w:rPr>
        <w:t xml:space="preserve"> αναπτύσσονται παρεμβάσεις στους ακόλουθους τομείς  προτεραιότητας:</w:t>
      </w:r>
    </w:p>
    <w:p w14:paraId="2B7F58A9" w14:textId="4FD6EA0D" w:rsidR="003840DC" w:rsidRPr="00A246FD" w:rsidRDefault="003840DC" w:rsidP="001D583B">
      <w:pPr>
        <w:pStyle w:val="ListParagraph"/>
        <w:numPr>
          <w:ilvl w:val="0"/>
          <w:numId w:val="40"/>
        </w:numPr>
        <w:ind w:left="851" w:hanging="218"/>
        <w:contextualSpacing w:val="0"/>
        <w:jc w:val="both"/>
        <w:rPr>
          <w:u w:val="single"/>
          <w:lang w:val="el-GR"/>
        </w:rPr>
      </w:pPr>
      <w:r w:rsidRPr="00A246FD">
        <w:rPr>
          <w:u w:val="single"/>
          <w:lang w:val="el-GR"/>
        </w:rPr>
        <w:t>Περιβάλλον και Αποδοτικότητα Πόρων</w:t>
      </w:r>
      <w:r w:rsidR="00A246FD">
        <w:rPr>
          <w:u w:val="single"/>
          <w:lang w:val="el-GR"/>
        </w:rPr>
        <w:t>:</w:t>
      </w:r>
      <w:r w:rsidR="00A246FD" w:rsidRPr="00A246FD">
        <w:rPr>
          <w:lang w:val="el-GR"/>
        </w:rPr>
        <w:t xml:space="preserve"> Παρεμβάσεις διαχείρισης αποβλήτων (παρουσίαση μιας βιώσιμης τεχνολογίας μετατροπής για την παραγωγή ενέργειας και μιας βιώσιμης διαδικασίας για τη διαχείριση αποβλήτων και λυμάτων), βιομηχανικών αποβλήτων (παρουσίαση μιας περιβαλλοντικά και οικονομικά βιώσιμης διαδικασίας για τη διαχείριση και επεξεργασία επιστρεφόμενων και ληγμένων γαλακτοκομικών προϊόντων), γεωργικών αποβλήτων (ανάπτυξη παρουσίαση και αξιολόγηση ενός ολοκληρωμένου συστήματος επεξεργασίας ζωικών αποβλήτων) και παρεμβάσεις αύξηση της προσαρμοστικής ικανότητας της Κύπρου στις επιπτώσεις της κλιματικής αλλαγής (προτάσεις για ένα πιο οικονομικά και περιβαλλοντικά βιώσιμο δίκτυο ηλεκτρικής ενέργειας στην Κύπρο και την Ευρώπη).</w:t>
      </w:r>
    </w:p>
    <w:p w14:paraId="4F79204A" w14:textId="76EBFC80" w:rsidR="003840DC" w:rsidRPr="00A246FD" w:rsidRDefault="003840DC" w:rsidP="001D583B">
      <w:pPr>
        <w:pStyle w:val="ListParagraph"/>
        <w:numPr>
          <w:ilvl w:val="0"/>
          <w:numId w:val="40"/>
        </w:numPr>
        <w:ind w:left="851"/>
        <w:contextualSpacing w:val="0"/>
        <w:jc w:val="both"/>
        <w:rPr>
          <w:u w:val="single"/>
          <w:lang w:val="el-GR"/>
        </w:rPr>
      </w:pPr>
      <w:r w:rsidRPr="00A246FD">
        <w:rPr>
          <w:u w:val="single"/>
          <w:lang w:val="el-GR"/>
        </w:rPr>
        <w:t>Φύση και βιοποικιλότητα</w:t>
      </w:r>
      <w:r w:rsidR="00A246FD">
        <w:rPr>
          <w:u w:val="single"/>
          <w:lang w:val="el-GR"/>
        </w:rPr>
        <w:t>:</w:t>
      </w:r>
      <w:r w:rsidR="00A246FD" w:rsidRPr="00A246FD">
        <w:rPr>
          <w:lang w:val="el-GR"/>
        </w:rPr>
        <w:t xml:space="preserve"> Έχουν σχεδιασθεί και υλοποιούνται παρεμβάσεις διατήρησης σπάνιων οικοτόπων προτεραιότητας (κέδρος), γεωργικών περιοχών υψηλής φυσικής αξίας (αμπελώνες και καλλιέργειες χαρουπιάς) και θαμνώνων με </w:t>
      </w:r>
      <w:r w:rsidR="00A246FD">
        <w:t>Zyziphus</w:t>
      </w:r>
      <w:r w:rsidR="00A246FD" w:rsidRPr="00A246FD">
        <w:rPr>
          <w:lang w:val="el-GR"/>
        </w:rPr>
        <w:t xml:space="preserve"> και των γυψούχων στεπών στην Κύπρο. Επίσης</w:t>
      </w:r>
      <w:r w:rsidR="00A246FD">
        <w:rPr>
          <w:lang w:val="el-GR"/>
        </w:rPr>
        <w:t>,</w:t>
      </w:r>
      <w:r w:rsidR="00A246FD" w:rsidRPr="00A246FD">
        <w:rPr>
          <w:lang w:val="el-GR"/>
        </w:rPr>
        <w:t xml:space="preserve"> επιχειρείται η  εφαρμογή μέτρων διατήρησης/διαχείρισης που θα </w:t>
      </w:r>
      <w:r w:rsidR="00A246FD" w:rsidRPr="00A246FD">
        <w:rPr>
          <w:lang w:val="el-GR"/>
        </w:rPr>
        <w:lastRenderedPageBreak/>
        <w:t>βελτιώσουν σημαντικά τις οικολογικές συνθήκες</w:t>
      </w:r>
      <w:r w:rsidR="00A246FD">
        <w:rPr>
          <w:lang w:val="el-GR"/>
        </w:rPr>
        <w:t>,</w:t>
      </w:r>
      <w:r w:rsidR="00A246FD" w:rsidRPr="00A246FD">
        <w:rPr>
          <w:lang w:val="el-GR"/>
        </w:rPr>
        <w:t xml:space="preserve"> για επιλεγμένα είδη πτηνών σε τρεις περιοχές του δικτύου </w:t>
      </w:r>
      <w:r w:rsidR="00A246FD">
        <w:t>Natura</w:t>
      </w:r>
      <w:r w:rsidR="00A246FD" w:rsidRPr="00A246FD">
        <w:rPr>
          <w:lang w:val="el-GR"/>
        </w:rPr>
        <w:t xml:space="preserve"> 2000 στην Κύπρο, καθώς και μέτρων διατήρησης των δύο ειδών θαλάσσιων χελωνών που απαντώνται στην ΕΕ και ειδικότερα στην Κύπρο.</w:t>
      </w:r>
    </w:p>
    <w:p w14:paraId="2F692877" w14:textId="7522E4AE" w:rsidR="003840DC" w:rsidRPr="00A246FD" w:rsidRDefault="003840DC" w:rsidP="001D583B">
      <w:pPr>
        <w:pStyle w:val="ListParagraph"/>
        <w:numPr>
          <w:ilvl w:val="0"/>
          <w:numId w:val="40"/>
        </w:numPr>
        <w:ind w:left="851"/>
        <w:jc w:val="both"/>
        <w:rPr>
          <w:u w:val="single"/>
          <w:lang w:val="el-GR"/>
        </w:rPr>
      </w:pPr>
      <w:r w:rsidRPr="00A246FD">
        <w:rPr>
          <w:u w:val="single"/>
          <w:lang w:val="el-GR"/>
        </w:rPr>
        <w:t>Περιβαλλοντική Διακυβέρνηση και Πληροφόρηση</w:t>
      </w:r>
      <w:r w:rsidR="00A246FD">
        <w:rPr>
          <w:u w:val="single"/>
          <w:lang w:val="el-GR"/>
        </w:rPr>
        <w:t xml:space="preserve">: </w:t>
      </w:r>
      <w:r w:rsidR="00A246FD" w:rsidRPr="00A246FD">
        <w:rPr>
          <w:lang w:val="el-GR"/>
        </w:rPr>
        <w:t>Προβλέπονται παρεμβάσεις για την ενίσχυση της αποτελεσματικότητας των υπηρεσιών υποστήριξης και της βοήθειας για την υλοποίηση των έργων, ενώ έχει εκπονηθεί ολοκληρωμένη στρατηγική επικοινωνίας και υλοποιείται εκστρατεία ευαισθητοποίησης για τη μείωση, την επαναχρησιμοποίηση και την ανακύκλωση των απορριμμάτων στην Κύπρο.</w:t>
      </w:r>
    </w:p>
    <w:p w14:paraId="368CA79E" w14:textId="671B64EC" w:rsidR="003840DC" w:rsidRPr="00A246FD" w:rsidRDefault="003840DC" w:rsidP="00A246FD">
      <w:pPr>
        <w:ind w:left="567"/>
        <w:jc w:val="both"/>
        <w:rPr>
          <w:lang w:val="el-GR"/>
        </w:rPr>
      </w:pPr>
      <w:r w:rsidRPr="00A246FD">
        <w:rPr>
          <w:lang w:val="el-GR"/>
        </w:rPr>
        <w:t>Αντίστοιχα</w:t>
      </w:r>
      <w:r w:rsidR="00A246FD">
        <w:rPr>
          <w:lang w:val="el-GR"/>
        </w:rPr>
        <w:t>,</w:t>
      </w:r>
      <w:r w:rsidRPr="00A246FD">
        <w:rPr>
          <w:lang w:val="el-GR"/>
        </w:rPr>
        <w:t xml:space="preserve"> στο σκέλος του </w:t>
      </w:r>
      <w:r w:rsidRPr="00A246FD">
        <w:rPr>
          <w:b/>
          <w:lang w:val="el-GR"/>
        </w:rPr>
        <w:t>Υποπρογράμματος «Προσαρμογή στην κλιματική αλλαγή»</w:t>
      </w:r>
      <w:r w:rsidRPr="00A246FD">
        <w:rPr>
          <w:lang w:val="el-GR"/>
        </w:rPr>
        <w:t xml:space="preserve"> αναπτύσσεται εργαλειοθήκη αξιολόγησης των επιπτώσεων της κλιματικής αλλαγής προς χρήση των Δήμων των αστικών περιοχών, ενώ υλοποιούνται προγράμματα ενίσχυσης του γνωστικού υπόβαθρου σχετικά με την τρωτότητα της γεωργίας στην κλιματική αλλαγή</w:t>
      </w:r>
      <w:r w:rsidR="00A246FD">
        <w:rPr>
          <w:lang w:val="el-GR"/>
        </w:rPr>
        <w:t xml:space="preserve">, </w:t>
      </w:r>
      <w:r w:rsidRPr="00A246FD">
        <w:rPr>
          <w:lang w:val="el-GR"/>
        </w:rPr>
        <w:t>υποστήριξης των διαδικασιών λήψης αποφάσεων για τον σχεδιασμό μεθόδων προσαρμογής, καθώς και προώθησης της βιολογικής γεωργίας και των προϊόντων της στο πλαίσιο των στρατηγικών μετριασμού της κλιματικής αλλαγή</w:t>
      </w:r>
      <w:r w:rsidR="00A246FD">
        <w:rPr>
          <w:lang w:val="el-GR"/>
        </w:rPr>
        <w:t>ς.</w:t>
      </w:r>
    </w:p>
    <w:p w14:paraId="4D073130" w14:textId="77777777" w:rsidR="002A4776" w:rsidRPr="00E61882" w:rsidRDefault="002A4776" w:rsidP="001D583B">
      <w:pPr>
        <w:pStyle w:val="ListParagraph"/>
        <w:numPr>
          <w:ilvl w:val="0"/>
          <w:numId w:val="39"/>
        </w:numPr>
        <w:ind w:left="567" w:hanging="357"/>
        <w:contextualSpacing w:val="0"/>
        <w:jc w:val="both"/>
        <w:rPr>
          <w:lang w:val="el-GR"/>
        </w:rPr>
      </w:pPr>
      <w:r w:rsidRPr="00E61882">
        <w:rPr>
          <w:rStyle w:val="shorttext"/>
          <w:i/>
        </w:rPr>
        <w:t>Structural</w:t>
      </w:r>
      <w:r w:rsidRPr="00E61882">
        <w:rPr>
          <w:rStyle w:val="shorttext"/>
          <w:i/>
          <w:lang w:val="el-GR"/>
        </w:rPr>
        <w:t xml:space="preserve"> </w:t>
      </w:r>
      <w:r w:rsidRPr="00E61882">
        <w:rPr>
          <w:rStyle w:val="shorttext"/>
          <w:i/>
        </w:rPr>
        <w:t>Reform</w:t>
      </w:r>
      <w:r w:rsidRPr="00E61882">
        <w:rPr>
          <w:rStyle w:val="shorttext"/>
          <w:i/>
          <w:lang w:val="el-GR"/>
        </w:rPr>
        <w:t xml:space="preserve"> </w:t>
      </w:r>
      <w:r w:rsidRPr="00E61882">
        <w:rPr>
          <w:rStyle w:val="shorttext"/>
          <w:i/>
        </w:rPr>
        <w:t>Support</w:t>
      </w:r>
      <w:r w:rsidRPr="00E61882">
        <w:rPr>
          <w:rStyle w:val="shorttext"/>
          <w:i/>
          <w:lang w:val="el-GR"/>
        </w:rPr>
        <w:t xml:space="preserve"> </w:t>
      </w:r>
      <w:r w:rsidRPr="00E61882">
        <w:rPr>
          <w:rStyle w:val="shorttext"/>
          <w:i/>
        </w:rPr>
        <w:t>Service</w:t>
      </w:r>
      <w:r w:rsidR="00E61882" w:rsidRPr="00E61882">
        <w:rPr>
          <w:rStyle w:val="shorttext"/>
          <w:i/>
          <w:lang w:val="el-GR"/>
        </w:rPr>
        <w:t xml:space="preserve"> (</w:t>
      </w:r>
      <w:r w:rsidR="00E61882">
        <w:rPr>
          <w:rStyle w:val="shorttext"/>
          <w:i/>
        </w:rPr>
        <w:t>SRSS</w:t>
      </w:r>
      <w:r w:rsidR="00E61882" w:rsidRPr="00E61882">
        <w:rPr>
          <w:rStyle w:val="shorttext"/>
          <w:i/>
          <w:lang w:val="el-GR"/>
        </w:rPr>
        <w:t>)</w:t>
      </w:r>
      <w:r w:rsidRPr="00E61882">
        <w:rPr>
          <w:rStyle w:val="shorttext"/>
          <w:lang w:val="el-GR"/>
        </w:rPr>
        <w:t xml:space="preserve">: </w:t>
      </w:r>
      <w:r w:rsidR="00E32094" w:rsidRPr="00E61882">
        <w:rPr>
          <w:rStyle w:val="shorttext"/>
          <w:lang w:val="el-GR"/>
        </w:rPr>
        <w:t xml:space="preserve">Η ΓΔ ΕΠΣΑ, πέραν από Διαχειριστική Αρχή των ΕΠ που συγχρηματοδοτούνται από τα Ταμεία της Πολιτικής Συνοχής και το ΕΤΘΑ, είναι υπεύθυνη </w:t>
      </w:r>
      <w:r w:rsidR="00E61882">
        <w:rPr>
          <w:rStyle w:val="shorttext"/>
          <w:lang w:val="el-GR"/>
        </w:rPr>
        <w:t xml:space="preserve">για το συντονισμό των αιτημάτων </w:t>
      </w:r>
      <w:r w:rsidR="00AD307C">
        <w:rPr>
          <w:rStyle w:val="shorttext"/>
          <w:lang w:val="el-GR"/>
        </w:rPr>
        <w:t xml:space="preserve">Τεχνικής Βοήθειας </w:t>
      </w:r>
      <w:r w:rsidR="00E61882">
        <w:rPr>
          <w:rStyle w:val="shorttext"/>
          <w:lang w:val="el-GR"/>
        </w:rPr>
        <w:t>που</w:t>
      </w:r>
      <w:r w:rsidR="00E32094" w:rsidRPr="00E61882">
        <w:rPr>
          <w:rStyle w:val="shorttext"/>
          <w:lang w:val="el-GR"/>
        </w:rPr>
        <w:t xml:space="preserve"> υποβάλει η Κύπρος</w:t>
      </w:r>
      <w:r w:rsidR="00E61882" w:rsidRPr="00E61882">
        <w:rPr>
          <w:rStyle w:val="shorttext"/>
          <w:lang w:val="el-GR"/>
        </w:rPr>
        <w:t xml:space="preserve"> </w:t>
      </w:r>
      <w:r w:rsidR="00E61882">
        <w:rPr>
          <w:rStyle w:val="shorttext"/>
          <w:lang w:val="el-GR"/>
        </w:rPr>
        <w:t>στο</w:t>
      </w:r>
      <w:r w:rsidR="00E32094" w:rsidRPr="00E61882">
        <w:rPr>
          <w:rStyle w:val="shorttext"/>
          <w:lang w:val="el-GR"/>
        </w:rPr>
        <w:t xml:space="preserve"> </w:t>
      </w:r>
      <w:r w:rsidR="00E61882" w:rsidRPr="00E61882">
        <w:rPr>
          <w:rStyle w:val="shorttext"/>
        </w:rPr>
        <w:t>SRSS</w:t>
      </w:r>
      <w:r w:rsidR="00E61882">
        <w:rPr>
          <w:rStyle w:val="shorttext"/>
          <w:lang w:val="el-GR"/>
        </w:rPr>
        <w:t xml:space="preserve">, με αποτέλεσμα να εντοπίζονται οι συνέργειες και η συμπληρωματικότητα των αιτημάτων με τα προς συγχρηματοδότηση από τα Ταμεία της Πολιτικής Συνοχής έργα, διασφαλίζοντας παράλληλα </w:t>
      </w:r>
      <w:r w:rsidR="00AD307C">
        <w:rPr>
          <w:rStyle w:val="shorttext"/>
          <w:lang w:val="el-GR"/>
        </w:rPr>
        <w:t xml:space="preserve">ότι δεν υπάρχει </w:t>
      </w:r>
      <w:r w:rsidR="00E61882">
        <w:rPr>
          <w:rStyle w:val="shorttext"/>
          <w:lang w:val="el-GR"/>
        </w:rPr>
        <w:t xml:space="preserve">διπλή χρηματοδότηση των ίδιων αιτημάτων. Σημειώνεται επίσης ότι μέσα στο 2015 </w:t>
      </w:r>
      <w:r w:rsidR="00AD307C">
        <w:rPr>
          <w:rStyle w:val="shorttext"/>
          <w:lang w:val="el-GR"/>
        </w:rPr>
        <w:t xml:space="preserve">η Κύπρος έδωσε από τα ΕΔΕΤ που της παραχωρήθηκαν ποσό ύψους €700.000 στο </w:t>
      </w:r>
      <w:r w:rsidR="00AD307C" w:rsidRPr="00E61882">
        <w:rPr>
          <w:rStyle w:val="shorttext"/>
        </w:rPr>
        <w:t>SRSS</w:t>
      </w:r>
      <w:r w:rsidR="00AD307C">
        <w:rPr>
          <w:rStyle w:val="shorttext"/>
          <w:lang w:val="el-GR"/>
        </w:rPr>
        <w:t>, για κάλυψη των αναγκών της σε Τεχνική Βοήθεια.</w:t>
      </w:r>
    </w:p>
    <w:bookmarkEnd w:id="32"/>
    <w:p w14:paraId="453B3D4D" w14:textId="77777777" w:rsidR="00BE2C45" w:rsidRPr="00BE2C45" w:rsidRDefault="00BE2C45" w:rsidP="00A07250">
      <w:pPr>
        <w:numPr>
          <w:ilvl w:val="0"/>
          <w:numId w:val="29"/>
        </w:numPr>
        <w:tabs>
          <w:tab w:val="clear" w:pos="1134"/>
        </w:tabs>
        <w:ind w:left="426" w:hanging="142"/>
        <w:jc w:val="both"/>
        <w:rPr>
          <w:b/>
          <w:i/>
          <w:lang w:val="el-GR"/>
        </w:rPr>
      </w:pPr>
      <w:r>
        <w:rPr>
          <w:b/>
          <w:i/>
          <w:lang w:val="el-GR"/>
        </w:rPr>
        <w:t>Μέσα Χρηματοοικονομικής Τεχνικής</w:t>
      </w:r>
      <w:r w:rsidRPr="00BE2C45">
        <w:rPr>
          <w:b/>
          <w:i/>
          <w:lang w:val="el-GR"/>
        </w:rPr>
        <w:t xml:space="preserve"> </w:t>
      </w:r>
    </w:p>
    <w:p w14:paraId="0CAB7BF5" w14:textId="77777777" w:rsidR="003648B5" w:rsidRPr="003648B5" w:rsidRDefault="003648B5" w:rsidP="003648B5">
      <w:pPr>
        <w:tabs>
          <w:tab w:val="left" w:pos="709"/>
        </w:tabs>
        <w:spacing w:after="120"/>
        <w:jc w:val="both"/>
        <w:rPr>
          <w:rFonts w:cs="Calibri"/>
          <w:lang w:val="el-GR"/>
        </w:rPr>
      </w:pPr>
      <w:r w:rsidRPr="003648B5">
        <w:rPr>
          <w:rFonts w:cs="Calibri"/>
          <w:lang w:val="el-GR"/>
        </w:rPr>
        <w:t>Η χρήση Μέσων Χρηματοοικονομικής Τεχνικής (ΜΧΤ) προβλέπεται ως δυνατότητα για την υλοποίηση των Ε.Π. και στο πλαίσιο ενίσχυσης της αποτελεσματικότητας των πόρων των ΕΔΕΤ επιδιώκεται η προσπάθεια αξιοποίησης τυχόν συνεργιών και συμπληρωματικότητας της δράσης των Ταμείων με άλλα κοινοτικά ή/και εθνικά χρηματοδοτικά μέσα/εργαλεία.</w:t>
      </w:r>
    </w:p>
    <w:p w14:paraId="29BF1656" w14:textId="345F847A" w:rsidR="003648B5" w:rsidRPr="003648B5" w:rsidRDefault="003648B5" w:rsidP="003648B5">
      <w:pPr>
        <w:tabs>
          <w:tab w:val="left" w:pos="709"/>
        </w:tabs>
        <w:spacing w:after="120"/>
        <w:jc w:val="both"/>
        <w:rPr>
          <w:rFonts w:cs="Calibri"/>
          <w:lang w:val="el-GR"/>
        </w:rPr>
      </w:pPr>
      <w:r w:rsidRPr="003648B5">
        <w:rPr>
          <w:rFonts w:cs="Calibri"/>
          <w:lang w:val="el-GR"/>
        </w:rPr>
        <w:t>Σε αυτό το πλαίσιο, και σύμφωνα με τα προβλεπόμενα στο άρθρο 37(2) του Κανονισμού (ΕΕ) αριθ. 1303/2003, η Διαχειριστική Αρχή υπέγραψε στις 30/11/2016 Συμφωνία με την Ευρωπαϊκή Τράπεζα Επενδύσεων</w:t>
      </w:r>
      <w:r w:rsidR="00C804CF">
        <w:rPr>
          <w:rFonts w:cs="Calibri"/>
          <w:lang w:val="el-GR"/>
        </w:rPr>
        <w:t xml:space="preserve"> (ΕΤΕπ)</w:t>
      </w:r>
      <w:r w:rsidRPr="003648B5">
        <w:rPr>
          <w:rFonts w:cs="Calibri"/>
          <w:lang w:val="el-GR"/>
        </w:rPr>
        <w:t>, για εκπόνηση μελέτης εκ των προτέρων αξιολόγησης για τη χρήση ΜΧΤ στο πλαίσιο των Ε.Π. Η μελέτη κατέδειξε την ύπαρξη χρηματοδοτικού κενού  στους τομείς των ΜΜΕ και της ενεργειακής απόδοσης.</w:t>
      </w:r>
    </w:p>
    <w:p w14:paraId="7715439D" w14:textId="7F4B8C9E" w:rsidR="005779A6" w:rsidRPr="00372CE3" w:rsidRDefault="003648B5" w:rsidP="005779A6">
      <w:pPr>
        <w:jc w:val="both"/>
        <w:rPr>
          <w:lang w:val="el-GR"/>
        </w:rPr>
      </w:pPr>
      <w:r w:rsidRPr="003648B5">
        <w:rPr>
          <w:rFonts w:cs="Calibri"/>
          <w:lang w:val="el-GR"/>
        </w:rPr>
        <w:t xml:space="preserve">Μετά από διαβούλευση με την ΕΤΕπ, η Διαχειριστική Αρχή αποφάσισε όπως κατανείμει ποσό ύψους €40εκ. περίπου για χρήση ΜΧΤ στο ΕΠ «Ανταγωνιστικότητα και Αειφόρος Ανάπτυξη», οι οποίοι προκύπτουν τόσο από υφιστάμενους πόρους (€20,6εκ.) που προορίζονταν για την ενίσχυση των ΜΜΕ μέσω Σχεδίων Χορηγιών, όσο και από τους πρόσθετους πόρους (€13 εκ.) που κατανεμήθηκαν στην Κύπρο </w:t>
      </w:r>
      <w:r w:rsidRPr="003648B5">
        <w:rPr>
          <w:rFonts w:cs="Calibri"/>
          <w:lang w:val="el-GR"/>
        </w:rPr>
        <w:lastRenderedPageBreak/>
        <w:t>μέσω της τεχνικής προσαρμογής των εθνικών δημοσιονομικών φακέλων της Πολιτικής Συνοχής της ΕΕ και προορίζονται για την στήριξη της ενεργειακής απόδοσης των νοικοκυριών και των δημόσιων κτιρίων.</w:t>
      </w:r>
    </w:p>
    <w:p w14:paraId="05CFE5CF" w14:textId="77777777" w:rsidR="00BE2C45" w:rsidRPr="00BE2C45" w:rsidRDefault="00BE2C45" w:rsidP="00C804CF">
      <w:pPr>
        <w:numPr>
          <w:ilvl w:val="0"/>
          <w:numId w:val="29"/>
        </w:numPr>
        <w:tabs>
          <w:tab w:val="clear" w:pos="1134"/>
        </w:tabs>
        <w:spacing w:after="120"/>
        <w:ind w:left="426" w:hanging="142"/>
        <w:jc w:val="both"/>
        <w:rPr>
          <w:b/>
          <w:i/>
          <w:lang w:val="el-GR"/>
        </w:rPr>
      </w:pPr>
      <w:r>
        <w:rPr>
          <w:b/>
          <w:i/>
          <w:lang w:val="el-GR"/>
        </w:rPr>
        <w:t>Επενδυτικό</w:t>
      </w:r>
      <w:r w:rsidRPr="00BE2C45">
        <w:rPr>
          <w:b/>
          <w:i/>
          <w:lang w:val="el-GR"/>
        </w:rPr>
        <w:t xml:space="preserve"> </w:t>
      </w:r>
      <w:r>
        <w:rPr>
          <w:b/>
          <w:i/>
          <w:lang w:val="el-GR"/>
        </w:rPr>
        <w:t>Σχέδιο</w:t>
      </w:r>
      <w:r w:rsidRPr="00BE2C45">
        <w:rPr>
          <w:b/>
          <w:i/>
          <w:lang w:val="el-GR"/>
        </w:rPr>
        <w:t xml:space="preserve"> για την Ευρώπη</w:t>
      </w:r>
      <w:r>
        <w:rPr>
          <w:b/>
          <w:i/>
          <w:lang w:val="el-GR"/>
        </w:rPr>
        <w:t xml:space="preserve"> &amp; </w:t>
      </w:r>
      <w:r w:rsidRPr="00BE2C45">
        <w:rPr>
          <w:b/>
          <w:i/>
          <w:lang w:val="el-GR"/>
        </w:rPr>
        <w:t>Ευρωπαϊκό Ταμείο Στρατηγικών Επενδύσεων</w:t>
      </w:r>
    </w:p>
    <w:p w14:paraId="13AFEEC6" w14:textId="17C5D431" w:rsidR="00BA1DE5" w:rsidRDefault="00BE2C45" w:rsidP="00752536">
      <w:pPr>
        <w:jc w:val="both"/>
        <w:rPr>
          <w:lang w:val="el-GR"/>
        </w:rPr>
      </w:pPr>
      <w:r>
        <w:rPr>
          <w:lang w:val="el-GR"/>
        </w:rPr>
        <w:t>Σ</w:t>
      </w:r>
      <w:r w:rsidRPr="00BE2C45">
        <w:rPr>
          <w:lang w:val="el-GR"/>
        </w:rPr>
        <w:t>το πλαίσιο του «</w:t>
      </w:r>
      <w:bookmarkStart w:id="33" w:name="_Hlk487786807"/>
      <w:r w:rsidRPr="00BE2C45">
        <w:rPr>
          <w:lang w:val="el-GR"/>
        </w:rPr>
        <w:t>Επενδυτικού Σχεδίου για την Ευρώπη</w:t>
      </w:r>
      <w:bookmarkEnd w:id="33"/>
      <w:r w:rsidRPr="00BE2C45">
        <w:rPr>
          <w:lang w:val="el-GR"/>
        </w:rPr>
        <w:t>» («</w:t>
      </w:r>
      <w:r w:rsidR="00BA1DE5" w:rsidRPr="00BA1DE5">
        <w:rPr>
          <w:rStyle w:val="Emphasis"/>
          <w:i w:val="0"/>
        </w:rPr>
        <w:t>Juncker</w:t>
      </w:r>
      <w:r w:rsidR="00BA1DE5" w:rsidRPr="00BA1DE5">
        <w:rPr>
          <w:rStyle w:val="Emphasis"/>
          <w:i w:val="0"/>
          <w:lang w:val="el-GR"/>
        </w:rPr>
        <w:t xml:space="preserve"> </w:t>
      </w:r>
      <w:r w:rsidR="00BA1DE5" w:rsidRPr="00BA1DE5">
        <w:rPr>
          <w:rStyle w:val="Emphasis"/>
          <w:i w:val="0"/>
        </w:rPr>
        <w:t>Plan</w:t>
      </w:r>
      <w:r w:rsidRPr="00BE2C45">
        <w:rPr>
          <w:lang w:val="el-GR"/>
        </w:rPr>
        <w:t>») και του χρηματοδοτικού του πυλώνα «</w:t>
      </w:r>
      <w:bookmarkStart w:id="34" w:name="_Hlk487786836"/>
      <w:r w:rsidRPr="00BE2C45">
        <w:rPr>
          <w:lang w:val="el-GR"/>
        </w:rPr>
        <w:t>Ευρωπαϊκό Ταμείο Στρατηγικών Επενδύσεων</w:t>
      </w:r>
      <w:bookmarkEnd w:id="34"/>
      <w:r w:rsidRPr="00BE2C45">
        <w:rPr>
          <w:lang w:val="el-GR"/>
        </w:rPr>
        <w:t xml:space="preserve">», η Κύπρος δεν έχει εντάξει ακόμα κανέναν έργο, παρά το γεγονός ότι έχουν ήδη υπογραφεί 2 συμφωνίες συνολικής αξίας €10 εκ. με ενδιάμεσους χρηματοοικονομικούς φορείς, που υπολογίζεται ότι θα πυροδοτήσουν επενδύσεις συνολικού προϋπολογισμού περίπου €28 εκ. ενισχύοντας 125 </w:t>
      </w:r>
      <w:r w:rsidR="00BA1DE5">
        <w:t>MME</w:t>
      </w:r>
      <w:r w:rsidRPr="00BE2C45">
        <w:rPr>
          <w:lang w:val="el-GR"/>
        </w:rPr>
        <w:t>.</w:t>
      </w:r>
      <w:r w:rsidR="00D135AC">
        <w:rPr>
          <w:lang w:val="el-GR"/>
        </w:rPr>
        <w:t xml:space="preserve"> </w:t>
      </w:r>
    </w:p>
    <w:p w14:paraId="2E3EDF46" w14:textId="19C56797" w:rsidR="00D135AC" w:rsidRDefault="00BA1DE5" w:rsidP="00752536">
      <w:pPr>
        <w:jc w:val="both"/>
        <w:rPr>
          <w:lang w:val="el-GR"/>
        </w:rPr>
      </w:pPr>
      <w:r>
        <w:rPr>
          <w:lang w:val="el-GR"/>
        </w:rPr>
        <w:t>Γενικότερα, ο</w:t>
      </w:r>
      <w:r w:rsidR="00D135AC">
        <w:rPr>
          <w:lang w:val="el-GR"/>
        </w:rPr>
        <w:t xml:space="preserve">ι όροι και προϋποθέσεις αξιοποίησης των σχετικών πόρων </w:t>
      </w:r>
      <w:r>
        <w:rPr>
          <w:lang w:val="el-GR"/>
        </w:rPr>
        <w:t>δεν είναι ευνοϊκοί</w:t>
      </w:r>
      <w:r w:rsidR="00D135AC">
        <w:rPr>
          <w:lang w:val="el-GR"/>
        </w:rPr>
        <w:t xml:space="preserve"> για </w:t>
      </w:r>
      <w:r>
        <w:rPr>
          <w:lang w:val="el-GR"/>
        </w:rPr>
        <w:t>το μικρό μέγεθος</w:t>
      </w:r>
      <w:r w:rsidR="00D135AC">
        <w:rPr>
          <w:lang w:val="el-GR"/>
        </w:rPr>
        <w:t xml:space="preserve"> των οικονομικών φορέων της Κύπρου.</w:t>
      </w:r>
    </w:p>
    <w:p w14:paraId="3D0841C5" w14:textId="77777777" w:rsidR="000C6CC1" w:rsidRDefault="000C6CC1" w:rsidP="00752536">
      <w:pPr>
        <w:jc w:val="both"/>
        <w:rPr>
          <w:lang w:val="el-GR"/>
        </w:rPr>
      </w:pPr>
    </w:p>
    <w:p w14:paraId="00CFE508" w14:textId="77777777" w:rsidR="00876718" w:rsidRPr="000C6CC1" w:rsidRDefault="00876718" w:rsidP="00752536">
      <w:pPr>
        <w:jc w:val="both"/>
        <w:rPr>
          <w:b/>
          <w:i/>
          <w:lang w:val="el-GR"/>
        </w:rPr>
      </w:pPr>
      <w:r w:rsidRPr="000C6CC1">
        <w:rPr>
          <w:b/>
          <w:i/>
          <w:lang w:val="el-GR"/>
        </w:rPr>
        <w:t xml:space="preserve">β) Κατά περίπτωση, περιγραφή των αναπροσαρμοσμένων και νέων μηχανισμών συντονισμού.  </w:t>
      </w:r>
    </w:p>
    <w:p w14:paraId="42921BCE" w14:textId="7B3DDDE1" w:rsidR="00876718" w:rsidRDefault="00A246FD" w:rsidP="00752536">
      <w:pPr>
        <w:jc w:val="both"/>
        <w:rPr>
          <w:lang w:val="el-GR"/>
        </w:rPr>
      </w:pPr>
      <w:r>
        <w:rPr>
          <w:lang w:val="el-GR"/>
        </w:rPr>
        <w:t>Δεν εφαρμόζεται</w:t>
      </w:r>
    </w:p>
    <w:p w14:paraId="0F7602E4" w14:textId="77777777" w:rsidR="00C804CF" w:rsidRPr="00A246FD" w:rsidRDefault="00C804CF" w:rsidP="00752536">
      <w:pPr>
        <w:jc w:val="both"/>
        <w:rPr>
          <w:lang w:val="el-GR"/>
        </w:rPr>
      </w:pPr>
    </w:p>
    <w:p w14:paraId="7A4174A4" w14:textId="3BCA83AE" w:rsidR="00876718" w:rsidRPr="00A246FD" w:rsidRDefault="00876718" w:rsidP="00752536">
      <w:pPr>
        <w:jc w:val="both"/>
        <w:rPr>
          <w:b/>
          <w:i/>
          <w:lang w:val="el-GR"/>
        </w:rPr>
      </w:pPr>
      <w:r w:rsidRPr="00A246FD">
        <w:rPr>
          <w:b/>
          <w:i/>
          <w:lang w:val="el-GR"/>
        </w:rPr>
        <w:t>γ)  Άλλα στοιχεία, κατά περίπτωση.</w:t>
      </w:r>
    </w:p>
    <w:p w14:paraId="632A6EC5" w14:textId="10E3AF3B" w:rsidR="00A246FD" w:rsidRDefault="00A246FD" w:rsidP="00752536">
      <w:pPr>
        <w:jc w:val="both"/>
        <w:rPr>
          <w:lang w:val="el-GR"/>
        </w:rPr>
      </w:pPr>
      <w:r>
        <w:rPr>
          <w:lang w:val="el-GR"/>
        </w:rPr>
        <w:t>Δεν εφαρμόζεται</w:t>
      </w:r>
    </w:p>
    <w:p w14:paraId="3C24B5D5" w14:textId="77777777" w:rsidR="00537901" w:rsidRDefault="005D02F0" w:rsidP="00752536">
      <w:pPr>
        <w:jc w:val="both"/>
        <w:rPr>
          <w:lang w:val="el-GR"/>
        </w:rPr>
      </w:pPr>
      <w:r>
        <w:rPr>
          <w:lang w:val="el-GR"/>
        </w:rPr>
        <w:br w:type="page"/>
      </w:r>
    </w:p>
    <w:p w14:paraId="676088C3" w14:textId="77777777" w:rsidR="00620375" w:rsidRPr="0040101F" w:rsidRDefault="003B6611" w:rsidP="001D583B">
      <w:pPr>
        <w:pStyle w:val="Heading1"/>
        <w:numPr>
          <w:ilvl w:val="0"/>
          <w:numId w:val="7"/>
        </w:numPr>
        <w:ind w:left="426"/>
        <w:rPr>
          <w:rFonts w:ascii="Calibri" w:hAnsi="Calibri"/>
          <w:lang w:val="el-GR"/>
        </w:rPr>
      </w:pPr>
      <w:bookmarkStart w:id="35" w:name="_Toc483572193"/>
      <w:r w:rsidRPr="003B6611">
        <w:rPr>
          <w:rFonts w:ascii="Calibri" w:hAnsi="Calibri"/>
          <w:caps/>
          <w:smallCaps w:val="0"/>
          <w:lang w:val="el-GR"/>
        </w:rPr>
        <w:lastRenderedPageBreak/>
        <w:t xml:space="preserve">Εφαρμογή της ολοκληρωμένης προσέγγισης της εδαφικής ανάπτυξης ή συνοπτική παρουσίαση της εφαρμογής των ολοκληρωμένων προσεγγίσεων βάσει των προγραμμάτων, συμπεριλαμβανομένης της προόδου προς την επίτευξη των τομέων προτεραιότητας που καθορίστηκαν για συνεργασία </w:t>
      </w:r>
      <w:r w:rsidR="00620375" w:rsidRPr="0040101F">
        <w:rPr>
          <w:rStyle w:val="FootnoteReference"/>
          <w:rFonts w:ascii="Calibri" w:hAnsi="Calibri"/>
          <w:bCs w:val="0"/>
          <w:caps/>
          <w:smallCaps w:val="0"/>
          <w:lang w:val="el-GR"/>
        </w:rPr>
        <w:footnoteReference w:id="15"/>
      </w:r>
      <w:bookmarkEnd w:id="35"/>
    </w:p>
    <w:p w14:paraId="7D6B9F9D" w14:textId="77777777" w:rsidR="00620375" w:rsidRPr="001705FC" w:rsidRDefault="00620375" w:rsidP="00537901">
      <w:pPr>
        <w:rPr>
          <w:b/>
          <w:i/>
          <w:lang w:val="el-GR"/>
        </w:rPr>
      </w:pPr>
      <w:r w:rsidRPr="001705FC">
        <w:rPr>
          <w:b/>
          <w:i/>
          <w:lang w:val="el-GR"/>
        </w:rPr>
        <w:t>α)   Γενικός σχολιασμός και αξιολόγηση.</w:t>
      </w:r>
    </w:p>
    <w:p w14:paraId="24D75721" w14:textId="429D85E9" w:rsidR="005779A6" w:rsidRDefault="005779A6" w:rsidP="005779A6">
      <w:pPr>
        <w:jc w:val="both"/>
        <w:rPr>
          <w:lang w:val="el-GR"/>
        </w:rPr>
      </w:pPr>
      <w:r>
        <w:rPr>
          <w:lang w:val="el-GR"/>
        </w:rPr>
        <w:t xml:space="preserve">Σύμφωνα με την τυπολογία των αγροτικών-αστικών περιοχών που χρησιμοποιείται σε επίπεδο Ε.Ε., το σύνολο της επικράτειας της Κύπρου εντάσσεται στην κατηγορία των Ενδιάμεσων Περιοχών. Η </w:t>
      </w:r>
      <w:r w:rsidR="00EA3CF3">
        <w:rPr>
          <w:lang w:val="el-GR"/>
        </w:rPr>
        <w:t>κατηγοριοποίηση αυτή</w:t>
      </w:r>
      <w:r>
        <w:rPr>
          <w:lang w:val="el-GR"/>
        </w:rPr>
        <w:t xml:space="preserve"> δεν διευκολύνει την περιγραφή της πολιτικής η οποία θα ακολουθηθεί στα πλαίσια της εδαφικής ανάπτυξης, αφού δεν επιτρέπει την αναγκαία διάκριση σε επιμέρους χωρικές ενότητες. Παράλληλα, υποκρύπτει, σε ένα βαθμό, τις υπάρχουσες ανισότητες μεταξύ των αστικών κέντρων και της υπόλοιπης χώρας, οι οποίες εκδηλώνονται κυρίως σε χαμηλότερη κλίμακα του χώρου μεταξύ των αστικών και αγροτικών περιοχών. Σημαντικές </w:t>
      </w:r>
      <w:r w:rsidR="000D7E17">
        <w:rPr>
          <w:lang w:val="el-GR"/>
        </w:rPr>
        <w:t xml:space="preserve">παράλληλα </w:t>
      </w:r>
      <w:r>
        <w:rPr>
          <w:lang w:val="el-GR"/>
        </w:rPr>
        <w:t>είναι και οι εδαφικές ανισότητες που παρατηρούνται στην Κύπρο μεταξύ των παραθαλάσσιων τουριστικών περιοχών και των γύρω περιοχών.</w:t>
      </w:r>
    </w:p>
    <w:p w14:paraId="743641A9" w14:textId="77777777" w:rsidR="005779A6" w:rsidRDefault="005779A6" w:rsidP="005779A6">
      <w:pPr>
        <w:jc w:val="both"/>
        <w:rPr>
          <w:lang w:val="el-GR"/>
        </w:rPr>
      </w:pPr>
      <w:r>
        <w:rPr>
          <w:lang w:val="el-GR"/>
        </w:rPr>
        <w:t xml:space="preserve">Η αντιμετώπιση των αναπτυξιακών προβλημάτων αστικών, αγροτικών και αλιευτικών περιοχών της Κύπρου αναδεικνύει τη χρησιμότητα της  προσέγγισης μέσω της Ολοκληρωμένης Χωρικής Ανάπτυξης, προσαρμοσμένης στις ανάγκες και τα χαρακτηριστικά της χώρας. Τα νέα εργαλεία για την Ολοκληρωμένη Εδαφική Ανάπτυξη της περιόδου 2014-2020 παρέχουν σημαντικές δυνατότητες και η αξιοποίησή τους γίνεται με γνώμονα τις ιδιαίτερες απαιτήσεις αλλά και την θεσμική και διοικητική ικανότητα των επιμέρους επιπέδων της </w:t>
      </w:r>
      <w:r w:rsidR="00EA3CF3">
        <w:rPr>
          <w:lang w:val="el-GR"/>
        </w:rPr>
        <w:t xml:space="preserve">τοπικής </w:t>
      </w:r>
      <w:r>
        <w:rPr>
          <w:lang w:val="el-GR"/>
        </w:rPr>
        <w:t>αυτοδιοίκησης.</w:t>
      </w:r>
    </w:p>
    <w:p w14:paraId="6081E4D5" w14:textId="1007E5BB" w:rsidR="005779A6" w:rsidRPr="00E44ABA" w:rsidRDefault="005779A6" w:rsidP="005779A6">
      <w:pPr>
        <w:jc w:val="both"/>
        <w:rPr>
          <w:lang w:val="el-GR"/>
        </w:rPr>
      </w:pPr>
      <w:r>
        <w:rPr>
          <w:lang w:val="el-GR"/>
        </w:rPr>
        <w:t>Στα τέσσερα αστικά κέντρα εφαρμόζονται Ολοκληρωμέν</w:t>
      </w:r>
      <w:r w:rsidR="00EA3CF3">
        <w:rPr>
          <w:lang w:val="el-GR"/>
        </w:rPr>
        <w:t>ες Στρατηγικές</w:t>
      </w:r>
      <w:r>
        <w:rPr>
          <w:lang w:val="el-GR"/>
        </w:rPr>
        <w:t xml:space="preserve"> Βιώσιμης Αστικής Ανάπτυξης με χρηματοδότηση </w:t>
      </w:r>
      <w:r w:rsidR="00EA3CF3">
        <w:rPr>
          <w:lang w:val="el-GR"/>
        </w:rPr>
        <w:t xml:space="preserve">μέσω του ΕΤΠΑ </w:t>
      </w:r>
      <w:r>
        <w:rPr>
          <w:lang w:val="el-GR"/>
        </w:rPr>
        <w:t xml:space="preserve">από </w:t>
      </w:r>
      <w:r w:rsidR="00EA3CF3">
        <w:rPr>
          <w:lang w:val="el-GR"/>
        </w:rPr>
        <w:t>δ</w:t>
      </w:r>
      <w:r>
        <w:rPr>
          <w:lang w:val="el-GR"/>
        </w:rPr>
        <w:t>ιακριτό Άξονα Προτεραιότητας (Α.Π. 6), ενώ στις αγροτικές και στις αλιευτικές περιοχές αξιοποιούνται οι δυνατότητες που προσφέρονται μέσα από την εφαρμογή στρατηγικών Τοπικής Ανάπτυξης με την Πρωτοβουλία Τοπικών Κοινοτήτων (</w:t>
      </w:r>
      <w:r>
        <w:t>CLLD</w:t>
      </w:r>
      <w:r w:rsidRPr="00E44ABA">
        <w:rPr>
          <w:lang w:val="el-GR"/>
        </w:rPr>
        <w:t>)</w:t>
      </w:r>
      <w:r w:rsidR="00EA3CF3">
        <w:rPr>
          <w:lang w:val="el-GR"/>
        </w:rPr>
        <w:t xml:space="preserve"> και χρηματοδοτούνται από το ΕΓΤΑΑ και το ΕΤΘΑ</w:t>
      </w:r>
      <w:r w:rsidRPr="00E44ABA">
        <w:rPr>
          <w:lang w:val="el-GR"/>
        </w:rPr>
        <w:t>.</w:t>
      </w:r>
    </w:p>
    <w:p w14:paraId="7234A3B5" w14:textId="77777777" w:rsidR="005779A6" w:rsidRDefault="005779A6" w:rsidP="005779A6">
      <w:pPr>
        <w:jc w:val="both"/>
        <w:rPr>
          <w:lang w:val="el-GR"/>
        </w:rPr>
      </w:pPr>
      <w:r>
        <w:rPr>
          <w:lang w:val="el-GR"/>
        </w:rPr>
        <w:t xml:space="preserve">Μέσω της </w:t>
      </w:r>
      <w:r w:rsidRPr="009F5505">
        <w:rPr>
          <w:b/>
          <w:lang w:val="el-GR"/>
        </w:rPr>
        <w:t>προσέγγισης «</w:t>
      </w:r>
      <w:r w:rsidRPr="009F5505">
        <w:rPr>
          <w:b/>
        </w:rPr>
        <w:t>CLLD</w:t>
      </w:r>
      <w:r w:rsidRPr="009F5505">
        <w:rPr>
          <w:b/>
          <w:lang w:val="el-GR"/>
        </w:rPr>
        <w:t>»</w:t>
      </w:r>
      <w:r>
        <w:rPr>
          <w:lang w:val="el-GR"/>
        </w:rPr>
        <w:t xml:space="preserve">, η προτεραιότητα χρηματοδότησης εστιάζεται σε διαρθρωτικά μέτρα τόσο κοινωνικού όσο και οικονομικού χαρακτήρα και σε αναπτυξιακές παρεμβάσεις που στοχεύουν </w:t>
      </w:r>
      <w:r w:rsidR="00EA3CF3">
        <w:rPr>
          <w:lang w:val="el-GR"/>
        </w:rPr>
        <w:t>σ</w:t>
      </w:r>
      <w:r>
        <w:rPr>
          <w:lang w:val="el-GR"/>
        </w:rPr>
        <w:t xml:space="preserve">την εξυπηρέτηση στρατηγικών στόχων των διάφορων θεματικών προτεραιοτήτων, προσδιορισμένων σε χωρικό επίπεδο σε αγροτικές και αλιευτικές περιοχές από </w:t>
      </w:r>
      <w:r w:rsidRPr="00574A0E">
        <w:rPr>
          <w:b/>
          <w:lang w:val="el-GR"/>
        </w:rPr>
        <w:t>Ομάδες Τοπικής Δράσης</w:t>
      </w:r>
      <w:r>
        <w:rPr>
          <w:b/>
          <w:lang w:val="el-GR"/>
        </w:rPr>
        <w:t xml:space="preserve"> (ΟΤΔ)</w:t>
      </w:r>
      <w:r>
        <w:rPr>
          <w:lang w:val="el-GR"/>
        </w:rPr>
        <w:t xml:space="preserve">. Κοινές προτεραιότητες αποτελούν η ενίσχυση υποδομών, η ενίσχυση υπηρεσιών για τη βελτίωση της ποιότητας της ζωής των κατοίκων, </w:t>
      </w:r>
      <w:r w:rsidR="00710B07">
        <w:rPr>
          <w:lang w:val="el-GR"/>
        </w:rPr>
        <w:t xml:space="preserve">η ενίσχυση της επισκεψιμότητας </w:t>
      </w:r>
      <w:r>
        <w:rPr>
          <w:lang w:val="el-GR"/>
        </w:rPr>
        <w:t xml:space="preserve">των περιοχών και οι παρεμβάσεις για την εισαγωγή και χρήση ΑΠΕ και την προσαρμογή στην κλιματική αλλαγή. </w:t>
      </w:r>
    </w:p>
    <w:p w14:paraId="687938E8" w14:textId="1A04E29F" w:rsidR="005779A6" w:rsidRDefault="005779A6" w:rsidP="005779A6">
      <w:pPr>
        <w:jc w:val="both"/>
        <w:rPr>
          <w:lang w:val="el-GR"/>
        </w:rPr>
      </w:pPr>
      <w:r>
        <w:rPr>
          <w:lang w:val="el-GR"/>
        </w:rPr>
        <w:t xml:space="preserve">Σε ότι αφορά τις </w:t>
      </w:r>
      <w:r w:rsidRPr="00FC361C">
        <w:rPr>
          <w:b/>
          <w:lang w:val="el-GR"/>
        </w:rPr>
        <w:t>αγροτικές περιοχές</w:t>
      </w:r>
      <w:r w:rsidR="005F5FCA">
        <w:rPr>
          <w:b/>
          <w:lang w:val="el-GR"/>
        </w:rPr>
        <w:t>,</w:t>
      </w:r>
      <w:r>
        <w:rPr>
          <w:lang w:val="el-GR"/>
        </w:rPr>
        <w:t xml:space="preserve"> ιδιαίτερη έμφαση δίνεται στις ορεινές και ημιορεινές περιοχές της υπαίθρου</w:t>
      </w:r>
      <w:r w:rsidR="005F5FCA">
        <w:rPr>
          <w:lang w:val="el-GR"/>
        </w:rPr>
        <w:t>,</w:t>
      </w:r>
      <w:r>
        <w:rPr>
          <w:lang w:val="el-GR"/>
        </w:rPr>
        <w:t xml:space="preserve"> </w:t>
      </w:r>
      <w:r w:rsidR="005F5FCA">
        <w:rPr>
          <w:lang w:val="el-GR"/>
        </w:rPr>
        <w:t>ό</w:t>
      </w:r>
      <w:r>
        <w:rPr>
          <w:lang w:val="el-GR"/>
        </w:rPr>
        <w:t xml:space="preserve">που σημειώνονται και τα σημαντικότερα αναπτυξιακά προβλήματα όπως η πληθυσμιακή αποψίλωση, η υστέρηση της τοπικής οικονομίας και η εξάρτηση από δραστηριότητες της τοπικής οικονομίας. Βασικοί στόχοι που προωθούνται αφορούν στη διαφοροποίηση της τοπικής οικονομίας, στη δημιουργία επιχειρήσεων και θέσεων απασχόλησης, στην ανάδειξη φυσικών και πολιτιστικών πόρων, </w:t>
      </w:r>
      <w:r>
        <w:rPr>
          <w:lang w:val="el-GR"/>
        </w:rPr>
        <w:lastRenderedPageBreak/>
        <w:t xml:space="preserve">στη βελτίωση και  προστασία του γεωργικού περιβάλλοντος και τέλος στην προστασία και αποκατάσταση της βιοποικιλότητας. </w:t>
      </w:r>
    </w:p>
    <w:p w14:paraId="0D891AB0" w14:textId="00F06F0D" w:rsidR="005779A6" w:rsidRDefault="007854BB" w:rsidP="005779A6">
      <w:pPr>
        <w:jc w:val="both"/>
        <w:rPr>
          <w:lang w:val="el-GR"/>
        </w:rPr>
      </w:pPr>
      <w:r>
        <w:rPr>
          <w:lang w:val="el-GR"/>
        </w:rPr>
        <w:t>Μέχρι τις</w:t>
      </w:r>
      <w:r w:rsidR="005779A6" w:rsidRPr="007854BB">
        <w:rPr>
          <w:lang w:val="el-GR"/>
        </w:rPr>
        <w:t xml:space="preserve"> 31/12/2016</w:t>
      </w:r>
      <w:r>
        <w:rPr>
          <w:lang w:val="el-GR"/>
        </w:rPr>
        <w:t>,</w:t>
      </w:r>
      <w:r w:rsidR="005779A6" w:rsidRPr="007854BB">
        <w:rPr>
          <w:lang w:val="el-GR"/>
        </w:rPr>
        <w:t xml:space="preserve"> στο πλαίσιο προκήρυξης του Μέτρου 19 </w:t>
      </w:r>
      <w:r w:rsidR="00710B07" w:rsidRPr="007854BB">
        <w:rPr>
          <w:lang w:val="el-GR"/>
        </w:rPr>
        <w:t>του ΠΑΑ</w:t>
      </w:r>
      <w:r>
        <w:rPr>
          <w:lang w:val="el-GR"/>
        </w:rPr>
        <w:t>,</w:t>
      </w:r>
      <w:r w:rsidR="00710B07" w:rsidRPr="007854BB">
        <w:rPr>
          <w:lang w:val="el-GR"/>
        </w:rPr>
        <w:t xml:space="preserve"> </w:t>
      </w:r>
      <w:r w:rsidR="005779A6" w:rsidRPr="007854BB">
        <w:rPr>
          <w:lang w:val="el-GR"/>
        </w:rPr>
        <w:t>είχαν υποβληθεί και εγκριθεί 4 ΟΤΔ</w:t>
      </w:r>
      <w:r>
        <w:rPr>
          <w:lang w:val="el-GR"/>
        </w:rPr>
        <w:t>,</w:t>
      </w:r>
      <w:r w:rsidR="005779A6" w:rsidRPr="007854BB">
        <w:rPr>
          <w:lang w:val="el-GR"/>
        </w:rPr>
        <w:t xml:space="preserve"> που</w:t>
      </w:r>
      <w:r w:rsidR="005779A6">
        <w:rPr>
          <w:lang w:val="el-GR"/>
        </w:rPr>
        <w:t xml:space="preserve"> θα υλοποιήσουν Στρατηγικές Τοπικής Ανάπτυξης. Η συνεισφορά τους στους επιδιωκόμενους στόχους αναμένεται να φανεί μέσα στο 2017 οπότε και θα προχωρήσουν σε προκηρύξεις, ένταξη και υλοποίηση σχετικών έργων. Έτσι, </w:t>
      </w:r>
      <w:r w:rsidR="005779A6" w:rsidRPr="00C0414F">
        <w:rPr>
          <w:lang w:val="el-GR"/>
        </w:rPr>
        <w:t xml:space="preserve">παρόλο που δεν παρατηρήθηκε σημαντική ενεργοποίηση έως το τέλος του 2016, </w:t>
      </w:r>
      <w:r>
        <w:rPr>
          <w:lang w:val="el-GR"/>
        </w:rPr>
        <w:t xml:space="preserve">το Μέτρο αυτό </w:t>
      </w:r>
      <w:r w:rsidR="005779A6" w:rsidRPr="00C0414F">
        <w:rPr>
          <w:lang w:val="el-GR"/>
        </w:rPr>
        <w:t xml:space="preserve">αναμένεται να </w:t>
      </w:r>
      <w:r>
        <w:rPr>
          <w:lang w:val="el-GR"/>
        </w:rPr>
        <w:t>έχει σημαντική συμβολή</w:t>
      </w:r>
      <w:r w:rsidR="005779A6" w:rsidRPr="00C0414F">
        <w:rPr>
          <w:lang w:val="el-GR"/>
        </w:rPr>
        <w:t xml:space="preserve"> στην τοπική ανάπτυξη</w:t>
      </w:r>
      <w:r w:rsidR="005779A6">
        <w:rPr>
          <w:lang w:val="el-GR"/>
        </w:rPr>
        <w:t>, ιδιαίτερα μέσω παρεμβάσεων</w:t>
      </w:r>
      <w:r w:rsidR="005779A6" w:rsidRPr="00C0414F">
        <w:rPr>
          <w:lang w:val="el-GR"/>
        </w:rPr>
        <w:t xml:space="preserve"> των Καθεστώτων 19.2 και 19.3. </w:t>
      </w:r>
    </w:p>
    <w:p w14:paraId="5FD195D2" w14:textId="77777777" w:rsidR="005779A6" w:rsidRPr="005779A6" w:rsidRDefault="005779A6" w:rsidP="005779A6">
      <w:pPr>
        <w:jc w:val="both"/>
        <w:rPr>
          <w:lang w:val="el-GR"/>
        </w:rPr>
      </w:pPr>
      <w:r>
        <w:rPr>
          <w:lang w:val="el-GR"/>
        </w:rPr>
        <w:t xml:space="preserve">Σε σχέση με τις </w:t>
      </w:r>
      <w:r w:rsidRPr="00FC361C">
        <w:rPr>
          <w:b/>
          <w:lang w:val="el-GR"/>
        </w:rPr>
        <w:t>αλιευτικές περιοχές</w:t>
      </w:r>
      <w:r>
        <w:rPr>
          <w:lang w:val="el-GR"/>
        </w:rPr>
        <w:t>, μέσω της προσέγγισης «</w:t>
      </w:r>
      <w:r>
        <w:t>CLLD</w:t>
      </w:r>
      <w:r>
        <w:rPr>
          <w:lang w:val="el-GR"/>
        </w:rPr>
        <w:t xml:space="preserve">» επιδιώκεται η αξιοποίηση των δυνατοτήτων ενίσχυσης των περιοχών της Κύπρου που παρουσιάζουν έντονη δραστηριότητα στους τομείς της αλιείας και της υδατοκαλλιέργειας. Επιδίωξη της χωρικής προσέγγισης είναι η βιώσιμη ανάπτυξη αυτών των περιοχών, εξέλιξη η οποία θα συμβάλλει στην προσπάθεια αναδιάρθρωσης της οικονομίας. Βασικοί στόχοι που προωθούνται σε αυτές τις περιοχές αφορούν στη διαφοροποίηση της τοπικής οικονομίας, στη δημιουργία επιχειρήσεων και νέων θέσεων απασχόλησης, στην ανάδειξη φυσικών και πολιτιστικών πόρων, στην προστασία και ανάδειξη του παράκτιου περιβάλλοντος και στην προστασία και αποκατάσταση της βιοποικιλότητας. </w:t>
      </w:r>
    </w:p>
    <w:p w14:paraId="066D88DC" w14:textId="24846621" w:rsidR="005779A6" w:rsidRDefault="005779A6" w:rsidP="005779A6">
      <w:pPr>
        <w:jc w:val="both"/>
        <w:rPr>
          <w:lang w:val="el-GR"/>
        </w:rPr>
      </w:pPr>
      <w:r w:rsidRPr="00C0414F">
        <w:rPr>
          <w:b/>
          <w:lang w:val="el-GR"/>
        </w:rPr>
        <w:t>Μέσα στο 2016</w:t>
      </w:r>
      <w:r>
        <w:rPr>
          <w:lang w:val="el-GR"/>
        </w:rPr>
        <w:t xml:space="preserve"> </w:t>
      </w:r>
      <w:r w:rsidRPr="00D72E46">
        <w:rPr>
          <w:lang w:val="el-GR"/>
        </w:rPr>
        <w:t>έγινε η προκήρυξη</w:t>
      </w:r>
      <w:r>
        <w:rPr>
          <w:lang w:val="el-GR"/>
        </w:rPr>
        <w:t xml:space="preserve"> </w:t>
      </w:r>
      <w:r w:rsidRPr="00D72E46">
        <w:rPr>
          <w:lang w:val="el-GR"/>
        </w:rPr>
        <w:t>της πρό</w:t>
      </w:r>
      <w:r>
        <w:rPr>
          <w:lang w:val="el-GR"/>
        </w:rPr>
        <w:t>σ</w:t>
      </w:r>
      <w:r w:rsidRPr="00D72E46">
        <w:rPr>
          <w:lang w:val="el-GR"/>
        </w:rPr>
        <w:t>κλησης για υποβολή των</w:t>
      </w:r>
      <w:r>
        <w:rPr>
          <w:lang w:val="el-GR"/>
        </w:rPr>
        <w:t xml:space="preserve"> </w:t>
      </w:r>
      <w:r w:rsidRPr="00D72E46">
        <w:rPr>
          <w:lang w:val="el-GR"/>
        </w:rPr>
        <w:t xml:space="preserve">στρατηγικών τοπικής ανάπτυξης από </w:t>
      </w:r>
      <w:r>
        <w:rPr>
          <w:lang w:val="el-GR"/>
        </w:rPr>
        <w:t xml:space="preserve">τις </w:t>
      </w:r>
      <w:r w:rsidRPr="00D72E46">
        <w:rPr>
          <w:lang w:val="el-GR"/>
        </w:rPr>
        <w:t>Τοπικές Ομάδες Δράσης Αλιείας (ΤΟΔΑ)</w:t>
      </w:r>
      <w:r>
        <w:rPr>
          <w:lang w:val="el-GR"/>
        </w:rPr>
        <w:t xml:space="preserve">. </w:t>
      </w:r>
      <w:r w:rsidR="00D50DA2">
        <w:rPr>
          <w:lang w:val="el-GR"/>
        </w:rPr>
        <w:t>Μέχρι τις</w:t>
      </w:r>
      <w:r w:rsidR="00AE4778">
        <w:rPr>
          <w:lang w:val="el-GR"/>
        </w:rPr>
        <w:t xml:space="preserve"> 31/12/2016 είχαν υποβληθεί και εγκριθεί 3 ΤΟΔΑ που θα υλοποιήσουν Στρατηγικές Τοπικής Ανάπτυξης. </w:t>
      </w:r>
      <w:r>
        <w:rPr>
          <w:lang w:val="el-GR"/>
        </w:rPr>
        <w:t xml:space="preserve">Τα πρώτα αποτελέσματα των </w:t>
      </w:r>
      <w:r w:rsidR="00D50DA2">
        <w:rPr>
          <w:lang w:val="el-GR"/>
        </w:rPr>
        <w:t>Σ</w:t>
      </w:r>
      <w:r w:rsidRPr="00D72E46">
        <w:rPr>
          <w:lang w:val="el-GR"/>
        </w:rPr>
        <w:t>τρατηγικ</w:t>
      </w:r>
      <w:r>
        <w:rPr>
          <w:lang w:val="el-GR"/>
        </w:rPr>
        <w:t xml:space="preserve">ών </w:t>
      </w:r>
      <w:r w:rsidR="00D50DA2">
        <w:rPr>
          <w:lang w:val="el-GR"/>
        </w:rPr>
        <w:t>αυτών</w:t>
      </w:r>
      <w:r>
        <w:rPr>
          <w:lang w:val="el-GR"/>
        </w:rPr>
        <w:t xml:space="preserve"> αναμένεται να φανούν μέσα στο 2017, οπότε και οι αντίστοιχες ΤΟΔΑ θα προχωρήσουν σε προκηρύξεις, ένταξη και υλοποίηση σχετικών έργων.</w:t>
      </w:r>
    </w:p>
    <w:p w14:paraId="33282528" w14:textId="1597FEC6" w:rsidR="005779A6" w:rsidRDefault="005779A6" w:rsidP="005779A6">
      <w:pPr>
        <w:jc w:val="both"/>
        <w:rPr>
          <w:lang w:val="el-GR"/>
        </w:rPr>
      </w:pPr>
      <w:r>
        <w:rPr>
          <w:lang w:val="el-GR"/>
        </w:rPr>
        <w:t xml:space="preserve">Όσον αφορά στη </w:t>
      </w:r>
      <w:r w:rsidRPr="00550E00">
        <w:rPr>
          <w:b/>
          <w:lang w:val="el-GR"/>
        </w:rPr>
        <w:t>Βιώσιμη Αστική Ανάπτυξη</w:t>
      </w:r>
      <w:r>
        <w:rPr>
          <w:lang w:val="el-GR"/>
        </w:rPr>
        <w:t xml:space="preserve"> και τα </w:t>
      </w:r>
      <w:r>
        <w:rPr>
          <w:bCs/>
          <w:lang w:val="el-GR" w:bidi="el-GR"/>
        </w:rPr>
        <w:t xml:space="preserve">αστικά κέντρα των πόλεων της Λευκωσίας, Λεμεσού, Λάρνακας και Πάφου, παρότι μέχρι </w:t>
      </w:r>
      <w:r w:rsidR="00D50DA2">
        <w:rPr>
          <w:bCs/>
          <w:lang w:val="el-GR" w:bidi="el-GR"/>
        </w:rPr>
        <w:t>τις</w:t>
      </w:r>
      <w:r>
        <w:rPr>
          <w:bCs/>
          <w:lang w:val="el-GR" w:bidi="el-GR"/>
        </w:rPr>
        <w:t xml:space="preserve"> 31/12/2016 δεν υπήρχαν ενταγμένα έργα ώστε να υπάρχει αποτύπωμα προς αξιολόγηση, </w:t>
      </w:r>
      <w:r>
        <w:rPr>
          <w:lang w:val="el-GR"/>
        </w:rPr>
        <w:t>εν τούτοις έχει</w:t>
      </w:r>
      <w:r w:rsidRPr="00574A0E">
        <w:rPr>
          <w:lang w:val="el-GR"/>
        </w:rPr>
        <w:t xml:space="preserve"> παρατηρηθεί σημαντική πρόοδος υλοποίησης της Στρατηγικής ΟΒΑΑ του Δήμου Πάφου, αφού είχε αρχίσει η κατασκευή 7 έργων δημοσίων συμβάσεων, τα πλείστα εκ των οποίων αναμένεται να ολοκληρωθούν μέσα στο 2017. Στους υπόλοιπους 3 Δήμους, η υλοποίηση βρισκόταν το 2016 σε αρχικό στάδιο και περιλάμβανε κυρίως την ετοιμασία κατασκευαστικών σχεδίων για τα προγραμματιζόμενα έργα και την ετοιμασία των εγγράφων προκήρυξης διαγωνισμών. Οι πρώτοι διαγωνισμοί στους 3 Δήμους αναμένεται να προκηρυχθούν μέσα στο 2017.</w:t>
      </w:r>
    </w:p>
    <w:p w14:paraId="26264314" w14:textId="48A2294E" w:rsidR="005779A6" w:rsidRDefault="00D50DA2" w:rsidP="005779A6">
      <w:pPr>
        <w:jc w:val="both"/>
        <w:rPr>
          <w:color w:val="000000"/>
          <w:lang w:val="el-GR"/>
        </w:rPr>
      </w:pPr>
      <w:r>
        <w:rPr>
          <w:lang w:val="el-GR"/>
        </w:rPr>
        <w:t>Εξίσου</w:t>
      </w:r>
      <w:r w:rsidR="005779A6">
        <w:rPr>
          <w:lang w:val="el-GR"/>
        </w:rPr>
        <w:t xml:space="preserve"> σημαντική είναι </w:t>
      </w:r>
      <w:r>
        <w:rPr>
          <w:lang w:val="el-GR"/>
        </w:rPr>
        <w:t xml:space="preserve">και </w:t>
      </w:r>
      <w:r w:rsidR="005779A6">
        <w:rPr>
          <w:lang w:val="el-GR"/>
        </w:rPr>
        <w:t xml:space="preserve">η δραστηριότητα που αναπτύχθηκε στο πλαίσιο του </w:t>
      </w:r>
      <w:r w:rsidR="005779A6" w:rsidRPr="00D50DA2">
        <w:rPr>
          <w:b/>
          <w:lang w:val="el-GR"/>
        </w:rPr>
        <w:t>ΕΚΤ</w:t>
      </w:r>
      <w:r w:rsidR="005779A6" w:rsidRPr="00D50DA2">
        <w:rPr>
          <w:lang w:val="el-GR"/>
        </w:rPr>
        <w:t xml:space="preserve"> και του ΕΠ «Απασχόληση, Ανθρώπινοι Πόροι και Κοινωνική Συνοχή»</w:t>
      </w:r>
      <w:r w:rsidR="005779A6">
        <w:rPr>
          <w:b/>
          <w:lang w:val="el-GR"/>
        </w:rPr>
        <w:t xml:space="preserve"> </w:t>
      </w:r>
      <w:r w:rsidR="005779A6" w:rsidRPr="00550E00">
        <w:rPr>
          <w:lang w:val="el-GR"/>
        </w:rPr>
        <w:t xml:space="preserve">σχετικά </w:t>
      </w:r>
      <w:r w:rsidR="005779A6">
        <w:rPr>
          <w:lang w:val="el-GR"/>
        </w:rPr>
        <w:t xml:space="preserve">με τις </w:t>
      </w:r>
      <w:r w:rsidR="005779A6" w:rsidRPr="00C77FEA">
        <w:rPr>
          <w:lang w:val="el-GR"/>
        </w:rPr>
        <w:t>ολοκληρωμένες παρεμβάσεις</w:t>
      </w:r>
      <w:r>
        <w:rPr>
          <w:lang w:val="el-GR"/>
        </w:rPr>
        <w:t>,</w:t>
      </w:r>
      <w:r w:rsidR="005779A6" w:rsidRPr="00C77FEA">
        <w:rPr>
          <w:lang w:val="el-GR"/>
        </w:rPr>
        <w:t xml:space="preserve"> για την ενεργό ένταξη ανέργων ατόμων ευπαθών κοινωνικά ομάδων που αντιμετωπίζουν αυξημένο κίνδυνο κοινωνικού αποκλεισμού και φτώχειας. </w:t>
      </w:r>
      <w:r w:rsidR="005779A6">
        <w:rPr>
          <w:lang w:val="el-GR"/>
        </w:rPr>
        <w:t>Μέσα στο 2016 προκηρύχθηκαν τρία σχέδια χορηγιών</w:t>
      </w:r>
      <w:r w:rsidR="005779A6" w:rsidRPr="00550E00">
        <w:rPr>
          <w:color w:val="000000"/>
          <w:lang w:val="el-GR"/>
        </w:rPr>
        <w:t xml:space="preserve"> </w:t>
      </w:r>
      <w:r w:rsidR="005779A6" w:rsidRPr="00C77FEA">
        <w:rPr>
          <w:color w:val="000000"/>
          <w:lang w:val="el-GR"/>
        </w:rPr>
        <w:t>υπό τη μορφή παροχής κινήτρων προς τις επιχειρήσεις</w:t>
      </w:r>
      <w:r>
        <w:rPr>
          <w:color w:val="000000"/>
          <w:lang w:val="el-GR"/>
        </w:rPr>
        <w:t>,</w:t>
      </w:r>
      <w:r w:rsidR="005779A6" w:rsidRPr="00C77FEA">
        <w:rPr>
          <w:color w:val="000000"/>
          <w:lang w:val="el-GR"/>
        </w:rPr>
        <w:t xml:space="preserve"> για την πρόσληψη ατόμων που ανήκουν σε ευπαθείς ομάδες πληθυσμού (άτομα με αναπηρία, άτομα με χρόνιες παθήσεις, άτομα ηλικίας πέραν των 50 ετών)</w:t>
      </w:r>
      <w:r w:rsidR="005779A6">
        <w:rPr>
          <w:color w:val="000000"/>
          <w:lang w:val="el-GR"/>
        </w:rPr>
        <w:t xml:space="preserve">. Επίσης, </w:t>
      </w:r>
      <w:r w:rsidR="005779A6" w:rsidRPr="00C77FEA">
        <w:rPr>
          <w:color w:val="000000"/>
          <w:lang w:val="el-GR"/>
        </w:rPr>
        <w:t xml:space="preserve">ξεκίνησε η </w:t>
      </w:r>
      <w:r w:rsidR="005779A6" w:rsidRPr="004E4655">
        <w:rPr>
          <w:lang w:val="el-GR"/>
        </w:rPr>
        <w:t>υλοποίηση</w:t>
      </w:r>
      <w:r w:rsidR="005779A6" w:rsidRPr="00C77FEA">
        <w:rPr>
          <w:color w:val="000000"/>
          <w:lang w:val="el-GR"/>
        </w:rPr>
        <w:t xml:space="preserve"> του έργου </w:t>
      </w:r>
      <w:r w:rsidR="005779A6" w:rsidRPr="007D3925">
        <w:rPr>
          <w:bCs/>
          <w:color w:val="000000"/>
          <w:lang w:val="el-GR"/>
        </w:rPr>
        <w:t>«Δράσεις Σχολικής και Κοινωνικής Ένταξης – ΔΡΑΣΕ»</w:t>
      </w:r>
      <w:r w:rsidR="005779A6" w:rsidRPr="00C77FEA">
        <w:rPr>
          <w:color w:val="000000"/>
          <w:lang w:val="el-GR"/>
        </w:rPr>
        <w:t>, το οποίο στοχεύει στην αντιμετώπιση των αρνητικών συνεπειών της οικονομικής κρίσης στην εκπαίδευση και κατ’ επ</w:t>
      </w:r>
      <w:r w:rsidR="005779A6">
        <w:rPr>
          <w:color w:val="000000"/>
          <w:lang w:val="el-GR"/>
        </w:rPr>
        <w:t>έκταση στους ευάλωτους μαθητές</w:t>
      </w:r>
      <w:r w:rsidR="007D3925">
        <w:rPr>
          <w:color w:val="000000"/>
          <w:lang w:val="el-GR"/>
        </w:rPr>
        <w:t>,</w:t>
      </w:r>
      <w:r w:rsidR="005779A6">
        <w:rPr>
          <w:color w:val="000000"/>
          <w:lang w:val="el-GR"/>
        </w:rPr>
        <w:t xml:space="preserve"> όπως κι εκείνη που αφορά </w:t>
      </w:r>
      <w:r w:rsidR="007D3925">
        <w:rPr>
          <w:color w:val="000000"/>
          <w:lang w:val="el-GR"/>
        </w:rPr>
        <w:t>σ</w:t>
      </w:r>
      <w:r w:rsidR="00970BB1">
        <w:rPr>
          <w:color w:val="000000"/>
          <w:lang w:val="el-GR"/>
        </w:rPr>
        <w:t xml:space="preserve">την </w:t>
      </w:r>
      <w:r w:rsidR="00970BB1" w:rsidRPr="007D3925">
        <w:rPr>
          <w:color w:val="000000"/>
          <w:lang w:val="el-GR"/>
        </w:rPr>
        <w:t>«Επέκταση της Εφαρμογής του Νέου Συστήματος Αξιολόγησης της Αναπηρίας»</w:t>
      </w:r>
      <w:r w:rsidR="005779A6">
        <w:rPr>
          <w:color w:val="000000"/>
          <w:lang w:val="el-GR"/>
        </w:rPr>
        <w:t>.</w:t>
      </w:r>
    </w:p>
    <w:p w14:paraId="24E81E0D" w14:textId="1017691C" w:rsidR="005779A6" w:rsidRDefault="005779A6" w:rsidP="00710B07">
      <w:pPr>
        <w:jc w:val="both"/>
        <w:rPr>
          <w:lang w:val="el-GR"/>
        </w:rPr>
      </w:pPr>
      <w:r>
        <w:rPr>
          <w:lang w:val="el-GR"/>
        </w:rPr>
        <w:lastRenderedPageBreak/>
        <w:t xml:space="preserve">Τέλος, στο πλαίσιο του ΠΑΑ προκηρύχθηκαν τρία Μέτρα με σημαντική επιτυχία, που </w:t>
      </w:r>
      <w:r w:rsidR="00612CF9">
        <w:rPr>
          <w:lang w:val="el-GR"/>
        </w:rPr>
        <w:t xml:space="preserve">έχουν </w:t>
      </w:r>
      <w:r>
        <w:rPr>
          <w:lang w:val="el-GR"/>
        </w:rPr>
        <w:t xml:space="preserve">ως στόχο τη </w:t>
      </w:r>
      <w:r w:rsidRPr="00E44ABA">
        <w:rPr>
          <w:lang w:val="el-GR"/>
        </w:rPr>
        <w:t>διατήρηση του πληθυσμιακού ιστού σε απόκεντρες, ορεινές και μειονεκτικές περιοχές, που κατεξοχήν υφίστανται πληθυσμιακή αποψίλωση.</w:t>
      </w:r>
    </w:p>
    <w:p w14:paraId="77D58CA5" w14:textId="77777777" w:rsidR="005779A6" w:rsidRDefault="005779A6" w:rsidP="00537901">
      <w:pPr>
        <w:rPr>
          <w:lang w:val="el-GR"/>
        </w:rPr>
      </w:pPr>
    </w:p>
    <w:p w14:paraId="43B4C343" w14:textId="77777777" w:rsidR="00620375" w:rsidRPr="001705FC" w:rsidRDefault="00620375" w:rsidP="00537901">
      <w:pPr>
        <w:rPr>
          <w:b/>
          <w:i/>
          <w:lang w:val="el-GR"/>
        </w:rPr>
      </w:pPr>
      <w:r w:rsidRPr="001705FC">
        <w:rPr>
          <w:b/>
          <w:i/>
          <w:lang w:val="el-GR"/>
        </w:rPr>
        <w:t>β) Σχετικά με το άρθρο 15 παράγραφος 2 στοιχείο α) σημείο i) του κανονισμού (ΕΕ) αριθ. 1303/2013, επισκόπηση της υλοποίησης της τοπικής ανάπτυξης με πρωτοβουλία τοπικών κοινοτήτων.</w:t>
      </w:r>
    </w:p>
    <w:p w14:paraId="08B3B1D1" w14:textId="77777777" w:rsidR="00710B07" w:rsidRDefault="005779A6" w:rsidP="00C804CF">
      <w:pPr>
        <w:jc w:val="both"/>
        <w:rPr>
          <w:lang w:val="el-GR"/>
        </w:rPr>
      </w:pPr>
      <w:r>
        <w:rPr>
          <w:lang w:val="el-GR"/>
        </w:rPr>
        <w:t>Τ</w:t>
      </w:r>
      <w:r w:rsidRPr="00C77FEA">
        <w:rPr>
          <w:lang w:val="el-GR"/>
        </w:rPr>
        <w:t xml:space="preserve">ο </w:t>
      </w:r>
      <w:r w:rsidRPr="00C77FEA">
        <w:rPr>
          <w:b/>
          <w:lang w:val="el-GR"/>
        </w:rPr>
        <w:t>Πρόγραμμα Αγροτικής Ανάπτυξης</w:t>
      </w:r>
      <w:r w:rsidRPr="00C77FEA">
        <w:rPr>
          <w:lang w:val="el-GR"/>
        </w:rPr>
        <w:t xml:space="preserve"> συνεισφέρει στην εν λόγω διάσταση</w:t>
      </w:r>
      <w:r w:rsidR="00710B07">
        <w:rPr>
          <w:lang w:val="el-GR"/>
        </w:rPr>
        <w:t xml:space="preserve"> μέσω του</w:t>
      </w:r>
      <w:r w:rsidRPr="00C77FEA">
        <w:rPr>
          <w:lang w:val="el-GR"/>
        </w:rPr>
        <w:t xml:space="preserve"> </w:t>
      </w:r>
      <w:r w:rsidR="00710B07">
        <w:rPr>
          <w:lang w:val="el-GR"/>
        </w:rPr>
        <w:t>Μέτρου</w:t>
      </w:r>
      <w:r w:rsidRPr="00C77FEA">
        <w:rPr>
          <w:lang w:val="el-GR"/>
        </w:rPr>
        <w:t xml:space="preserve"> 19 «Στήριξη τοπικής ανάπτυξης μέσω </w:t>
      </w:r>
      <w:r>
        <w:t>Leader</w:t>
      </w:r>
      <w:r w:rsidRPr="00C77FEA">
        <w:rPr>
          <w:lang w:val="el-GR"/>
        </w:rPr>
        <w:t xml:space="preserve">», </w:t>
      </w:r>
      <w:r w:rsidR="00710B07">
        <w:rPr>
          <w:lang w:val="el-GR"/>
        </w:rPr>
        <w:t>που δίνει</w:t>
      </w:r>
      <w:r w:rsidRPr="00C77FEA">
        <w:rPr>
          <w:lang w:val="el-GR"/>
        </w:rPr>
        <w:t xml:space="preserve"> έμφαση στην τοπική ανάπτυξη στη βάση ενός ολοκληρωμένου στρατηγικού σχεδιασμού</w:t>
      </w:r>
      <w:r w:rsidR="00710B07">
        <w:rPr>
          <w:lang w:val="el-GR"/>
        </w:rPr>
        <w:t xml:space="preserve"> με πρωτοβουλία των τοπικών κοινοτήτων</w:t>
      </w:r>
      <w:r w:rsidRPr="00C77FEA">
        <w:rPr>
          <w:lang w:val="el-GR"/>
        </w:rPr>
        <w:t xml:space="preserve">. </w:t>
      </w:r>
    </w:p>
    <w:p w14:paraId="70B9558C" w14:textId="286F2F0F" w:rsidR="005779A6" w:rsidRPr="00C77FEA" w:rsidRDefault="005779A6" w:rsidP="00C804CF">
      <w:pPr>
        <w:jc w:val="both"/>
        <w:rPr>
          <w:lang w:val="el-GR"/>
        </w:rPr>
      </w:pPr>
      <w:r w:rsidRPr="00C77FEA">
        <w:rPr>
          <w:lang w:val="el-GR"/>
        </w:rPr>
        <w:t>Το Μέτρο 19 ενισχύει δημόσια έργα χαμηλού προϋπολογισμού</w:t>
      </w:r>
      <w:r w:rsidR="00612CF9">
        <w:rPr>
          <w:lang w:val="el-GR"/>
        </w:rPr>
        <w:t>,</w:t>
      </w:r>
      <w:r w:rsidRPr="00C77FEA">
        <w:rPr>
          <w:lang w:val="el-GR"/>
        </w:rPr>
        <w:t xml:space="preserve"> που αποσκοπούν στην παροχή βασικών υπηρεσιών και ανάπλαση χωριών σε αγροτικές περιοχές, αλλά και παρεμβάσεις που αποσκοπούν στη δημιουργία ευκαιριών απασχόλησης και την ανάπτυξη της οικονομικής δραστηριότητας σε τομείς πέραν της γεωργίας. Προτεραιότητα δίνεται στη σύσταση δικτύων συνεργασίας, στην ανάπτυξη μικρών επιχειρήσεων στον τομέα του τουρισμού και στην προσφορά κατάλληλης εκπαίδευσης και κατάρτισης στον τοπικό πληθυσμό.</w:t>
      </w:r>
    </w:p>
    <w:p w14:paraId="1113C5A9" w14:textId="4C6D088C" w:rsidR="005779A6" w:rsidRPr="00C77FEA" w:rsidRDefault="005779A6" w:rsidP="00C804CF">
      <w:pPr>
        <w:jc w:val="both"/>
        <w:rPr>
          <w:lang w:val="el-GR"/>
        </w:rPr>
      </w:pPr>
      <w:r w:rsidRPr="00C77FEA">
        <w:rPr>
          <w:lang w:val="el-GR"/>
        </w:rPr>
        <w:t xml:space="preserve">Το συνολικό ποσό που θα διατεθεί για τις ανάγκες </w:t>
      </w:r>
      <w:r w:rsidR="00710B07">
        <w:rPr>
          <w:lang w:val="el-GR"/>
        </w:rPr>
        <w:t>του παραπάνω Καθεστώτος</w:t>
      </w:r>
      <w:r w:rsidRPr="00C77FEA">
        <w:rPr>
          <w:lang w:val="el-GR"/>
        </w:rPr>
        <w:t xml:space="preserve"> κατά τη διάρκεια της περιόδου εφαρμογής, εκτιμάται στα </w:t>
      </w:r>
      <w:r w:rsidR="00B926B3">
        <w:rPr>
          <w:lang w:val="el-GR"/>
        </w:rPr>
        <w:t>€</w:t>
      </w:r>
      <w:r w:rsidR="00953BE1">
        <w:rPr>
          <w:lang w:val="el-GR"/>
        </w:rPr>
        <w:t>12,</w:t>
      </w:r>
      <w:r w:rsidR="00953BE1" w:rsidRPr="00953BE1">
        <w:rPr>
          <w:lang w:val="el-GR"/>
        </w:rPr>
        <w:t>5</w:t>
      </w:r>
      <w:r w:rsidR="00710B07">
        <w:rPr>
          <w:lang w:val="el-GR"/>
        </w:rPr>
        <w:t xml:space="preserve"> εκ.</w:t>
      </w:r>
    </w:p>
    <w:p w14:paraId="3E92AA27" w14:textId="36D5F22D" w:rsidR="005779A6" w:rsidRPr="00C77FEA" w:rsidRDefault="00B926B3" w:rsidP="00C804CF">
      <w:pPr>
        <w:jc w:val="both"/>
        <w:rPr>
          <w:lang w:val="el-GR"/>
        </w:rPr>
      </w:pPr>
      <w:r>
        <w:rPr>
          <w:lang w:val="el-GR"/>
        </w:rPr>
        <w:t>Σ</w:t>
      </w:r>
      <w:r w:rsidR="005779A6" w:rsidRPr="00C77FEA">
        <w:rPr>
          <w:lang w:val="el-GR"/>
        </w:rPr>
        <w:t xml:space="preserve">τις αρχές του 2016 προκηρύχθηκε το Καθεστώς 19.1 «Προπαρασκευαστική Υποστήριξη» συνολικής Δημόσιας Δαπάνης ύψους </w:t>
      </w:r>
      <w:r>
        <w:rPr>
          <w:lang w:val="el-GR"/>
        </w:rPr>
        <w:t>€</w:t>
      </w:r>
      <w:r w:rsidR="005779A6" w:rsidRPr="00C77FEA">
        <w:rPr>
          <w:lang w:val="el-GR"/>
        </w:rPr>
        <w:t xml:space="preserve">200.000, και εν συνεχεία μετά την υποδοχή και αξιολόγηση των αιτήσεων υπογράφηκαν συμβάσεις μεταξύ </w:t>
      </w:r>
      <w:r w:rsidR="005779A6" w:rsidRPr="00B926B3">
        <w:rPr>
          <w:lang w:val="el-GR"/>
        </w:rPr>
        <w:t>4 Ομάδων Τοπικής Δράσης</w:t>
      </w:r>
      <w:r w:rsidR="005779A6" w:rsidRPr="00C77FEA">
        <w:rPr>
          <w:lang w:val="el-GR"/>
        </w:rPr>
        <w:t xml:space="preserve"> </w:t>
      </w:r>
      <w:r w:rsidR="0025474D" w:rsidRPr="0025474D">
        <w:rPr>
          <w:lang w:val="el-GR"/>
        </w:rPr>
        <w:t>(Αναπτυξιακές Εταιρείες Λάρνακας – Αμμοχώστου, Λεμεσού, κοινοτήτων περιοχής Τροόδους και Πάφου "Αφροδίτη")</w:t>
      </w:r>
      <w:r w:rsidR="0025474D">
        <w:rPr>
          <w:lang w:val="el-GR"/>
        </w:rPr>
        <w:t xml:space="preserve"> </w:t>
      </w:r>
      <w:r w:rsidR="005779A6" w:rsidRPr="00C77FEA">
        <w:rPr>
          <w:lang w:val="el-GR"/>
        </w:rPr>
        <w:t xml:space="preserve">και του Υπουργείου Γεωργίας Αγροτικής Ανάπτυξης και Περιβάλλοντος, συνολικής αξίας </w:t>
      </w:r>
      <w:r>
        <w:rPr>
          <w:lang w:val="el-GR"/>
        </w:rPr>
        <w:t>€</w:t>
      </w:r>
      <w:r w:rsidR="005779A6" w:rsidRPr="00C77FEA">
        <w:rPr>
          <w:lang w:val="el-GR"/>
        </w:rPr>
        <w:t>155.866.</w:t>
      </w:r>
    </w:p>
    <w:p w14:paraId="1B967821" w14:textId="63ED2B3F" w:rsidR="005779A6" w:rsidRPr="00C77FEA" w:rsidRDefault="005779A6" w:rsidP="00C804CF">
      <w:pPr>
        <w:jc w:val="both"/>
        <w:rPr>
          <w:lang w:val="el-GR"/>
        </w:rPr>
      </w:pPr>
      <w:r w:rsidRPr="00C77FEA">
        <w:rPr>
          <w:lang w:val="el-GR"/>
        </w:rPr>
        <w:t xml:space="preserve">Το Καθεστώς 19.2 «Στήριξη για την υλοποίηση των πράξεων στο πλαίσιο της στρατηγικής τοπικής ανάπτυξης», παρόλο που δεν έχει ενεργοποιηθεί ακόμα, περιλαμβάνει 19 μεταφερόμενα έργα από την προηγούμενη περίοδο, συνολικής νομικής δέσμευσης (Δημόσια Δαπάνη) </w:t>
      </w:r>
      <w:r w:rsidR="00B926B3">
        <w:rPr>
          <w:lang w:val="el-GR"/>
        </w:rPr>
        <w:t>€</w:t>
      </w:r>
      <w:r w:rsidRPr="00C77FEA">
        <w:rPr>
          <w:lang w:val="el-GR"/>
        </w:rPr>
        <w:t>566.000, εκ των οποίων έχει αποπληρωθεί το 23% (</w:t>
      </w:r>
      <w:r w:rsidR="00B926B3">
        <w:rPr>
          <w:lang w:val="el-GR"/>
        </w:rPr>
        <w:t>€</w:t>
      </w:r>
      <w:r w:rsidRPr="00C77FEA">
        <w:rPr>
          <w:lang w:val="el-GR"/>
        </w:rPr>
        <w:t xml:space="preserve">132.953). Από τα 19 μεταφερόμενα έργα, </w:t>
      </w:r>
      <w:r w:rsidR="00B926B3">
        <w:rPr>
          <w:lang w:val="el-GR"/>
        </w:rPr>
        <w:t>είχαν</w:t>
      </w:r>
      <w:r w:rsidRPr="00C77FEA">
        <w:rPr>
          <w:lang w:val="el-GR"/>
        </w:rPr>
        <w:t xml:space="preserve"> ολοκληρωθεί </w:t>
      </w:r>
      <w:r w:rsidR="00B926B3">
        <w:rPr>
          <w:lang w:val="el-GR"/>
        </w:rPr>
        <w:t xml:space="preserve">μέχρι τις 31/12/16 </w:t>
      </w:r>
      <w:r w:rsidRPr="00C77FEA">
        <w:rPr>
          <w:lang w:val="el-GR"/>
        </w:rPr>
        <w:t>τα 5.</w:t>
      </w:r>
    </w:p>
    <w:p w14:paraId="768B5B48" w14:textId="1CA108F9" w:rsidR="005779A6" w:rsidRPr="00C77FEA" w:rsidRDefault="005779A6" w:rsidP="00C804CF">
      <w:pPr>
        <w:jc w:val="both"/>
        <w:rPr>
          <w:lang w:val="el-GR"/>
        </w:rPr>
      </w:pPr>
      <w:r w:rsidRPr="00C77FEA">
        <w:rPr>
          <w:lang w:val="el-GR"/>
        </w:rPr>
        <w:t xml:space="preserve">Τον Αύγουστο του 2016, απεστάλη στις ΟΤΔ το Εγχειρίδιο Εφαρμογής του Καθεστώτος 19.3 «Προετοιμασία και υλοποίηση Έργων συνεργασίας των ΟΤΔ», προκειμένου να ενημερωθούν σχετικά με τις διαδικασίες που θα ακολουθηθούν για την εφαρμογή και υλοποίηση έργων διακρατικής και διατοπικής συνεργασίας. Ακολούθησε, τον Οκτώβριο 2016, η προκήρυξη του Καθεστώτος, με προϋπολογισμό </w:t>
      </w:r>
      <w:r w:rsidR="00B926B3">
        <w:rPr>
          <w:lang w:val="el-GR"/>
        </w:rPr>
        <w:t>€</w:t>
      </w:r>
      <w:r w:rsidRPr="00C77FEA">
        <w:rPr>
          <w:lang w:val="el-GR"/>
        </w:rPr>
        <w:t xml:space="preserve">500.000, δίνοντας τη δυνατότητα στις ΟΤΔ να υποβάλλουν τις αιτήσεις τους έως το τέλος της προγραμματικής περιόδου. </w:t>
      </w:r>
    </w:p>
    <w:p w14:paraId="5B39DC6E" w14:textId="4132DE52" w:rsidR="005779A6" w:rsidRPr="00C77FEA" w:rsidRDefault="005779A6" w:rsidP="00C804CF">
      <w:pPr>
        <w:jc w:val="both"/>
        <w:rPr>
          <w:lang w:val="el-GR"/>
        </w:rPr>
      </w:pPr>
      <w:r w:rsidRPr="00C77FEA">
        <w:rPr>
          <w:lang w:val="el-GR"/>
        </w:rPr>
        <w:t xml:space="preserve">Στο Καθεστώς 19.4 «Έξοδα Λειτουργίας - Συντονισμός της Στρατηγικής Τοπικής Ανάπτυξης», η προκήρυξη έγινε με προϋπολογισμό </w:t>
      </w:r>
      <w:r w:rsidR="00B926B3">
        <w:rPr>
          <w:lang w:val="el-GR"/>
        </w:rPr>
        <w:t>€</w:t>
      </w:r>
      <w:r w:rsidRPr="00C77FEA">
        <w:rPr>
          <w:lang w:val="el-GR"/>
        </w:rPr>
        <w:t xml:space="preserve">2,5 εκ. με διάρκεια έως το τέλος της προγραμματικής περιόδου. Έως το τέλος του 2016 αποπληρώθηκαν δαπάνες λειτουργίας των ΟΤΔ, ύψους </w:t>
      </w:r>
      <w:r w:rsidR="00B926B3">
        <w:rPr>
          <w:lang w:val="el-GR"/>
        </w:rPr>
        <w:t>€</w:t>
      </w:r>
      <w:r w:rsidRPr="00C77FEA">
        <w:rPr>
          <w:lang w:val="el-GR"/>
        </w:rPr>
        <w:t>380.232.</w:t>
      </w:r>
    </w:p>
    <w:p w14:paraId="55CA4ACA" w14:textId="0DFBC66D" w:rsidR="005779A6" w:rsidRPr="00C77FEA" w:rsidRDefault="00A43B22" w:rsidP="00C804CF">
      <w:pPr>
        <w:jc w:val="both"/>
        <w:rPr>
          <w:lang w:val="el-GR"/>
        </w:rPr>
      </w:pPr>
      <w:r>
        <w:rPr>
          <w:lang w:val="el-GR"/>
        </w:rPr>
        <w:lastRenderedPageBreak/>
        <w:t xml:space="preserve">Οι παρεμβάσεις του Μέτρου 19 </w:t>
      </w:r>
      <w:r w:rsidR="005779A6" w:rsidRPr="00C77FEA">
        <w:rPr>
          <w:lang w:val="el-GR"/>
        </w:rPr>
        <w:t xml:space="preserve">αναμένεται να </w:t>
      </w:r>
      <w:r w:rsidR="00B926B3">
        <w:rPr>
          <w:lang w:val="el-GR"/>
        </w:rPr>
        <w:t>έχουν σημαντική συμβολή</w:t>
      </w:r>
      <w:r w:rsidR="005779A6" w:rsidRPr="00C77FEA">
        <w:rPr>
          <w:lang w:val="el-GR"/>
        </w:rPr>
        <w:t xml:space="preserve"> στην τοπική ανάπτυξη, καθώς έως το τέλος της προγραμματικής περιόδου προβλέπεται η δημιουργία 20 νέων θέσεων απασχόλησης.</w:t>
      </w:r>
    </w:p>
    <w:p w14:paraId="4CA417A0" w14:textId="77777777" w:rsidR="005779A6" w:rsidRDefault="005779A6" w:rsidP="00C804CF">
      <w:pPr>
        <w:spacing w:after="120"/>
        <w:jc w:val="both"/>
        <w:rPr>
          <w:lang w:val="el-GR"/>
        </w:rPr>
      </w:pPr>
      <w:r>
        <w:rPr>
          <w:lang w:val="el-GR"/>
        </w:rPr>
        <w:t xml:space="preserve">Όσον αφορά στις αλιευτικές περιοχές, στο πλαίσιο του </w:t>
      </w:r>
      <w:r w:rsidRPr="00B926B3">
        <w:rPr>
          <w:lang w:val="el-GR"/>
        </w:rPr>
        <w:t>Προγράμματος «Θάλασσα 2014-2020</w:t>
      </w:r>
      <w:r w:rsidR="00B926B3" w:rsidRPr="00B926B3">
        <w:rPr>
          <w:lang w:val="el-GR"/>
        </w:rPr>
        <w:t>»</w:t>
      </w:r>
      <w:r>
        <w:rPr>
          <w:lang w:val="el-GR"/>
        </w:rPr>
        <w:t xml:space="preserve"> που συγχρηματοδοτείται από το </w:t>
      </w:r>
      <w:r w:rsidRPr="00B926B3">
        <w:rPr>
          <w:b/>
          <w:lang w:val="el-GR"/>
        </w:rPr>
        <w:t>ΕΤΘΑ</w:t>
      </w:r>
      <w:r>
        <w:rPr>
          <w:lang w:val="el-GR"/>
        </w:rPr>
        <w:t xml:space="preserve">, η  υλοποίηση της Τοπικής Ανάπτυξης με Πρωτοβουλία των Τοπικών Κοινοτήτων </w:t>
      </w:r>
      <w:r w:rsidRPr="00540E6C">
        <w:rPr>
          <w:lang w:val="el-GR"/>
        </w:rPr>
        <w:t>(</w:t>
      </w:r>
      <w:r>
        <w:t>CLLD</w:t>
      </w:r>
      <w:r w:rsidRPr="00540E6C">
        <w:rPr>
          <w:lang w:val="el-GR"/>
        </w:rPr>
        <w:t>)</w:t>
      </w:r>
      <w:r>
        <w:rPr>
          <w:lang w:val="el-GR"/>
        </w:rPr>
        <w:t>, προωθείται μέσω της Προτεραιότητας της Ένωσης 4</w:t>
      </w:r>
      <w:r w:rsidRPr="00540E6C">
        <w:rPr>
          <w:lang w:val="el-GR"/>
        </w:rPr>
        <w:t xml:space="preserve"> </w:t>
      </w:r>
      <w:r>
        <w:rPr>
          <w:lang w:val="el-GR"/>
        </w:rPr>
        <w:t>και</w:t>
      </w:r>
      <w:r w:rsidRPr="007D10D1">
        <w:rPr>
          <w:b/>
          <w:lang w:val="el-GR"/>
        </w:rPr>
        <w:t xml:space="preserve"> </w:t>
      </w:r>
      <w:r w:rsidRPr="00B926B3">
        <w:rPr>
          <w:lang w:val="el-GR"/>
        </w:rPr>
        <w:t>υλοποιείται από 4 Μέτρα</w:t>
      </w:r>
      <w:r>
        <w:rPr>
          <w:lang w:val="el-GR"/>
        </w:rPr>
        <w:t xml:space="preserve"> που αφορούν:</w:t>
      </w:r>
    </w:p>
    <w:p w14:paraId="4E2B32B6" w14:textId="77777777" w:rsidR="005779A6" w:rsidRPr="007D10D1" w:rsidRDefault="005779A6" w:rsidP="00C804CF">
      <w:pPr>
        <w:numPr>
          <w:ilvl w:val="0"/>
          <w:numId w:val="21"/>
        </w:numPr>
        <w:spacing w:after="120"/>
        <w:ind w:left="567"/>
        <w:jc w:val="both"/>
        <w:rPr>
          <w:lang w:val="el-GR"/>
        </w:rPr>
      </w:pPr>
      <w:r w:rsidRPr="007D10D1">
        <w:rPr>
          <w:lang w:val="el-GR"/>
        </w:rPr>
        <w:t xml:space="preserve">Προπαρασκευαστική υποστήριξη </w:t>
      </w:r>
      <w:r>
        <w:rPr>
          <w:lang w:val="el-GR"/>
        </w:rPr>
        <w:t>(Μέτρο 4.1)</w:t>
      </w:r>
    </w:p>
    <w:p w14:paraId="6A4544EF" w14:textId="77777777" w:rsidR="005779A6" w:rsidRPr="007D10D1" w:rsidRDefault="005779A6" w:rsidP="00C804CF">
      <w:pPr>
        <w:numPr>
          <w:ilvl w:val="0"/>
          <w:numId w:val="21"/>
        </w:numPr>
        <w:spacing w:after="120"/>
        <w:ind w:left="567"/>
        <w:jc w:val="both"/>
        <w:rPr>
          <w:lang w:val="el-GR"/>
        </w:rPr>
      </w:pPr>
      <w:r w:rsidRPr="007D10D1">
        <w:rPr>
          <w:lang w:val="el-GR"/>
        </w:rPr>
        <w:t xml:space="preserve">Εφαρμογή στρατηγικής τοπικής ανάπτυξης με την πρωτοβουλία των τοπικών κοινοτήτων </w:t>
      </w:r>
      <w:r>
        <w:rPr>
          <w:lang w:val="el-GR"/>
        </w:rPr>
        <w:t>(Μέτρο 4.2)</w:t>
      </w:r>
    </w:p>
    <w:p w14:paraId="7E727656" w14:textId="77777777" w:rsidR="005779A6" w:rsidRPr="007D10D1" w:rsidRDefault="005779A6" w:rsidP="00C804CF">
      <w:pPr>
        <w:numPr>
          <w:ilvl w:val="0"/>
          <w:numId w:val="21"/>
        </w:numPr>
        <w:spacing w:after="120"/>
        <w:ind w:left="567"/>
        <w:jc w:val="both"/>
        <w:rPr>
          <w:lang w:val="el-GR"/>
        </w:rPr>
      </w:pPr>
      <w:r w:rsidRPr="007D10D1">
        <w:rPr>
          <w:lang w:val="el-GR"/>
        </w:rPr>
        <w:t xml:space="preserve">Λειτουργία της στρατηγικής τοπικής ανάπτυξης με την πρωτοβουλία των τοπικών κοινοτήτων </w:t>
      </w:r>
      <w:r>
        <w:rPr>
          <w:lang w:val="el-GR"/>
        </w:rPr>
        <w:t>(</w:t>
      </w:r>
      <w:r w:rsidRPr="007D10D1">
        <w:rPr>
          <w:lang w:val="el-GR"/>
        </w:rPr>
        <w:t>Μέτρο 4.3</w:t>
      </w:r>
      <w:r>
        <w:rPr>
          <w:lang w:val="el-GR"/>
        </w:rPr>
        <w:t>)</w:t>
      </w:r>
    </w:p>
    <w:p w14:paraId="0832C891" w14:textId="77777777" w:rsidR="005779A6" w:rsidRDefault="005779A6" w:rsidP="00C804CF">
      <w:pPr>
        <w:numPr>
          <w:ilvl w:val="0"/>
          <w:numId w:val="21"/>
        </w:numPr>
        <w:ind w:left="567"/>
        <w:jc w:val="both"/>
        <w:rPr>
          <w:lang w:val="el-GR"/>
        </w:rPr>
      </w:pPr>
      <w:r w:rsidRPr="007D10D1">
        <w:rPr>
          <w:lang w:val="el-GR"/>
        </w:rPr>
        <w:t xml:space="preserve">Δραστηριότητες συνεργασίας </w:t>
      </w:r>
      <w:r>
        <w:rPr>
          <w:lang w:val="el-GR"/>
        </w:rPr>
        <w:t>(</w:t>
      </w:r>
      <w:r w:rsidRPr="007D10D1">
        <w:rPr>
          <w:lang w:val="el-GR"/>
        </w:rPr>
        <w:t>Μέτρο 4.4</w:t>
      </w:r>
      <w:r>
        <w:rPr>
          <w:lang w:val="el-GR"/>
        </w:rPr>
        <w:t>)</w:t>
      </w:r>
      <w:r w:rsidR="00B926B3">
        <w:rPr>
          <w:lang w:val="el-GR"/>
        </w:rPr>
        <w:t>.</w:t>
      </w:r>
    </w:p>
    <w:p w14:paraId="1F4517F4" w14:textId="77777777" w:rsidR="005779A6" w:rsidRDefault="005779A6" w:rsidP="00C804CF">
      <w:pPr>
        <w:spacing w:after="120"/>
        <w:jc w:val="both"/>
        <w:rPr>
          <w:lang w:val="el-GR"/>
        </w:rPr>
      </w:pPr>
      <w:r w:rsidRPr="00D72E46">
        <w:rPr>
          <w:lang w:val="el-GR"/>
        </w:rPr>
        <w:t xml:space="preserve">Στις </w:t>
      </w:r>
      <w:r w:rsidRPr="00540E6C">
        <w:rPr>
          <w:b/>
          <w:lang w:val="el-GR"/>
        </w:rPr>
        <w:t>30 Ιουνίου 2016</w:t>
      </w:r>
      <w:r w:rsidRPr="00D72E46">
        <w:rPr>
          <w:lang w:val="el-GR"/>
        </w:rPr>
        <w:t xml:space="preserve"> έγινε η προκήρυξη</w:t>
      </w:r>
      <w:r>
        <w:rPr>
          <w:lang w:val="el-GR"/>
        </w:rPr>
        <w:t xml:space="preserve"> </w:t>
      </w:r>
      <w:r w:rsidRPr="00D72E46">
        <w:rPr>
          <w:lang w:val="el-GR"/>
        </w:rPr>
        <w:t>της πρό</w:t>
      </w:r>
      <w:r>
        <w:rPr>
          <w:lang w:val="el-GR"/>
        </w:rPr>
        <w:t>σ</w:t>
      </w:r>
      <w:r w:rsidRPr="00D72E46">
        <w:rPr>
          <w:lang w:val="el-GR"/>
        </w:rPr>
        <w:t>κλησης για υποβολή των</w:t>
      </w:r>
      <w:r>
        <w:rPr>
          <w:lang w:val="el-GR"/>
        </w:rPr>
        <w:t xml:space="preserve"> </w:t>
      </w:r>
      <w:r w:rsidRPr="00D72E46">
        <w:rPr>
          <w:lang w:val="el-GR"/>
        </w:rPr>
        <w:t xml:space="preserve">στρατηγικών τοπικής ανάπτυξης από </w:t>
      </w:r>
      <w:r>
        <w:rPr>
          <w:lang w:val="el-GR"/>
        </w:rPr>
        <w:t xml:space="preserve">τις </w:t>
      </w:r>
      <w:r w:rsidRPr="00D72E46">
        <w:rPr>
          <w:lang w:val="el-GR"/>
        </w:rPr>
        <w:t>Τοπικές Ομάδες Δράσης Αλιείας (ΤΟΔΑ)</w:t>
      </w:r>
      <w:r>
        <w:rPr>
          <w:lang w:val="el-GR"/>
        </w:rPr>
        <w:t xml:space="preserve"> </w:t>
      </w:r>
      <w:r w:rsidRPr="00D72E46">
        <w:rPr>
          <w:lang w:val="el-GR"/>
        </w:rPr>
        <w:t>με προϋπολογισμό €7,0 εκ. και</w:t>
      </w:r>
      <w:r>
        <w:rPr>
          <w:lang w:val="el-GR"/>
        </w:rPr>
        <w:t xml:space="preserve"> </w:t>
      </w:r>
      <w:r w:rsidRPr="00D72E46">
        <w:rPr>
          <w:lang w:val="el-GR"/>
        </w:rPr>
        <w:t>καταληκτική ημερομηνία στις 6</w:t>
      </w:r>
      <w:r>
        <w:rPr>
          <w:lang w:val="el-GR"/>
        </w:rPr>
        <w:t xml:space="preserve"> </w:t>
      </w:r>
      <w:r w:rsidRPr="00D72E46">
        <w:rPr>
          <w:lang w:val="el-GR"/>
        </w:rPr>
        <w:t xml:space="preserve">Σεπτεμβρίου 2016. Σκοπός </w:t>
      </w:r>
      <w:r>
        <w:rPr>
          <w:lang w:val="el-GR"/>
        </w:rPr>
        <w:t xml:space="preserve">της </w:t>
      </w:r>
      <w:r w:rsidRPr="00D72E46">
        <w:rPr>
          <w:lang w:val="el-GR"/>
        </w:rPr>
        <w:t>προκήρυξης ήταν η επιλογή των ΤΟΔΑ,</w:t>
      </w:r>
      <w:r>
        <w:rPr>
          <w:lang w:val="el-GR"/>
        </w:rPr>
        <w:t xml:space="preserve"> </w:t>
      </w:r>
      <w:r w:rsidRPr="00D72E46">
        <w:rPr>
          <w:lang w:val="el-GR"/>
        </w:rPr>
        <w:t xml:space="preserve">της περιοχής παρέμβασης τους και </w:t>
      </w:r>
      <w:r>
        <w:rPr>
          <w:lang w:val="el-GR"/>
        </w:rPr>
        <w:t xml:space="preserve">της </w:t>
      </w:r>
      <w:r w:rsidRPr="00D72E46">
        <w:rPr>
          <w:lang w:val="el-GR"/>
        </w:rPr>
        <w:t>στρατηγικής τοπικής ανάπτυξης που θα</w:t>
      </w:r>
      <w:r>
        <w:rPr>
          <w:lang w:val="el-GR"/>
        </w:rPr>
        <w:t xml:space="preserve"> </w:t>
      </w:r>
      <w:r w:rsidRPr="00D72E46">
        <w:rPr>
          <w:lang w:val="el-GR"/>
        </w:rPr>
        <w:t>εφαρμόσουν.</w:t>
      </w:r>
      <w:r>
        <w:rPr>
          <w:lang w:val="el-GR"/>
        </w:rPr>
        <w:t xml:space="preserve"> </w:t>
      </w:r>
      <w:r w:rsidRPr="00D72E46">
        <w:rPr>
          <w:lang w:val="el-GR"/>
        </w:rPr>
        <w:t>Μέσω της πρόσκλησης υποβλήθηκαν 3</w:t>
      </w:r>
      <w:r>
        <w:rPr>
          <w:lang w:val="el-GR"/>
        </w:rPr>
        <w:t xml:space="preserve"> </w:t>
      </w:r>
      <w:r w:rsidRPr="00D72E46">
        <w:rPr>
          <w:lang w:val="el-GR"/>
        </w:rPr>
        <w:t xml:space="preserve">στρατηγικές τοπικής ανάπτυξης από </w:t>
      </w:r>
      <w:r>
        <w:rPr>
          <w:lang w:val="el-GR"/>
        </w:rPr>
        <w:t xml:space="preserve">τις </w:t>
      </w:r>
      <w:r w:rsidRPr="00D72E46">
        <w:rPr>
          <w:lang w:val="el-GR"/>
        </w:rPr>
        <w:t>αντίστοιχες ΤΟΔΑ,</w:t>
      </w:r>
      <w:r>
        <w:rPr>
          <w:lang w:val="el-GR"/>
        </w:rPr>
        <w:t xml:space="preserve"> οι οποίες είναι οι ακόλουθες:</w:t>
      </w:r>
    </w:p>
    <w:p w14:paraId="38B4A4BD" w14:textId="77777777" w:rsidR="005779A6" w:rsidRPr="00B50544" w:rsidRDefault="005779A6" w:rsidP="00C804CF">
      <w:pPr>
        <w:numPr>
          <w:ilvl w:val="0"/>
          <w:numId w:val="22"/>
        </w:numPr>
        <w:spacing w:after="120"/>
        <w:ind w:left="567"/>
        <w:jc w:val="both"/>
        <w:rPr>
          <w:lang w:val="el-GR"/>
        </w:rPr>
      </w:pPr>
      <w:r w:rsidRPr="00B50544">
        <w:rPr>
          <w:lang w:val="el-GR"/>
        </w:rPr>
        <w:t>«Αναπτυξιακή Εταιρεία Λάρνακας</w:t>
      </w:r>
      <w:r>
        <w:rPr>
          <w:lang w:val="el-GR"/>
        </w:rPr>
        <w:t xml:space="preserve"> </w:t>
      </w:r>
      <w:r w:rsidRPr="00B50544">
        <w:rPr>
          <w:lang w:val="el-GR"/>
        </w:rPr>
        <w:t>- Αμμοχώστου», με προϋπολογισμό</w:t>
      </w:r>
      <w:r>
        <w:rPr>
          <w:lang w:val="el-GR"/>
        </w:rPr>
        <w:t xml:space="preserve"> </w:t>
      </w:r>
      <w:r w:rsidRPr="00B50544">
        <w:rPr>
          <w:lang w:val="el-GR"/>
        </w:rPr>
        <w:t>€2.362.200</w:t>
      </w:r>
    </w:p>
    <w:p w14:paraId="0520A9E0" w14:textId="77777777" w:rsidR="005779A6" w:rsidRDefault="005779A6" w:rsidP="00C804CF">
      <w:pPr>
        <w:numPr>
          <w:ilvl w:val="0"/>
          <w:numId w:val="22"/>
        </w:numPr>
        <w:spacing w:after="120"/>
        <w:ind w:left="567"/>
        <w:jc w:val="both"/>
        <w:rPr>
          <w:lang w:val="el-GR"/>
        </w:rPr>
      </w:pPr>
      <w:r w:rsidRPr="00B50544">
        <w:rPr>
          <w:lang w:val="el-GR"/>
        </w:rPr>
        <w:t>«Αναπτυξιακή Εταιρεία Λεμεσού»,</w:t>
      </w:r>
      <w:r>
        <w:rPr>
          <w:lang w:val="el-GR"/>
        </w:rPr>
        <w:t xml:space="preserve"> με προϋπολογισμό €2.311.500</w:t>
      </w:r>
    </w:p>
    <w:p w14:paraId="5121A73A" w14:textId="77777777" w:rsidR="005779A6" w:rsidRDefault="005779A6" w:rsidP="00C804CF">
      <w:pPr>
        <w:numPr>
          <w:ilvl w:val="0"/>
          <w:numId w:val="22"/>
        </w:numPr>
        <w:ind w:left="567"/>
        <w:jc w:val="both"/>
        <w:rPr>
          <w:lang w:val="el-GR"/>
        </w:rPr>
      </w:pPr>
      <w:r w:rsidRPr="00B50544">
        <w:rPr>
          <w:lang w:val="el-GR"/>
        </w:rPr>
        <w:t>«Αναπτυξιακή Εταιρεία Επαρχίας</w:t>
      </w:r>
      <w:r>
        <w:rPr>
          <w:lang w:val="el-GR"/>
        </w:rPr>
        <w:t xml:space="preserve"> </w:t>
      </w:r>
      <w:r w:rsidRPr="00B50544">
        <w:rPr>
          <w:lang w:val="el-GR"/>
        </w:rPr>
        <w:t>Πάφου - Αφροδίτη», με</w:t>
      </w:r>
      <w:r>
        <w:rPr>
          <w:lang w:val="el-GR"/>
        </w:rPr>
        <w:t xml:space="preserve"> </w:t>
      </w:r>
      <w:r w:rsidRPr="00B50544">
        <w:rPr>
          <w:lang w:val="el-GR"/>
        </w:rPr>
        <w:t>προϋπολογισμό €2.326.300</w:t>
      </w:r>
    </w:p>
    <w:p w14:paraId="13194666" w14:textId="77777777" w:rsidR="005779A6" w:rsidRPr="003B166E" w:rsidRDefault="005779A6" w:rsidP="005779A6">
      <w:pPr>
        <w:jc w:val="both"/>
        <w:rPr>
          <w:lang w:val="el-GR"/>
        </w:rPr>
      </w:pPr>
      <w:r w:rsidRPr="003B166E">
        <w:rPr>
          <w:lang w:val="el-GR"/>
        </w:rPr>
        <w:t>Και οι τρεις ΤΟΔΑ αναμένεται να υλοποιήσουν ενέργειες μέσω του Μέτρου 4.3 (Αρ. 63), συμπεριλαμβανομένων δαπανών λειτουργίας και συντονισμού και του Μέτρου 4.4. (Αρ. 64) με την προκήρυξη ανάλογων δράσεων από τοπικούς φορείς μέσα στο 2017.</w:t>
      </w:r>
    </w:p>
    <w:p w14:paraId="4BAE60DD" w14:textId="77777777" w:rsidR="005779A6" w:rsidRDefault="005779A6" w:rsidP="00C804CF">
      <w:pPr>
        <w:spacing w:after="0"/>
        <w:rPr>
          <w:lang w:val="el-GR"/>
        </w:rPr>
      </w:pPr>
    </w:p>
    <w:p w14:paraId="18693DC3" w14:textId="77777777" w:rsidR="00620375" w:rsidRPr="001705FC" w:rsidRDefault="008931C8" w:rsidP="00537901">
      <w:pPr>
        <w:rPr>
          <w:b/>
          <w:i/>
          <w:lang w:val="el-GR"/>
        </w:rPr>
      </w:pPr>
      <w:r w:rsidRPr="001705FC">
        <w:rPr>
          <w:b/>
          <w:i/>
          <w:lang w:val="el-GR"/>
        </w:rPr>
        <w:t>γ) Σχετικά με το άρθρο 15 παράγραφος 2 στοιχείο α) σημείο i) του κανονισμού (ΕΕ) αριθ. 1303/2013, επισκόπηση της υλοποίησης των ολοκληρωμένων εδαφικών επενδύσεων, κατά περίπτωση.</w:t>
      </w:r>
    </w:p>
    <w:p w14:paraId="094BDA10" w14:textId="77777777" w:rsidR="00C804CF" w:rsidRDefault="001A7C69" w:rsidP="001A7C69">
      <w:pPr>
        <w:jc w:val="both"/>
        <w:rPr>
          <w:bCs/>
          <w:lang w:val="el-GR"/>
        </w:rPr>
      </w:pPr>
      <w:r>
        <w:rPr>
          <w:bCs/>
          <w:lang w:val="el-GR"/>
        </w:rPr>
        <w:t xml:space="preserve">Στο πλαίσιο του </w:t>
      </w:r>
      <w:r w:rsidRPr="003B166E">
        <w:rPr>
          <w:bCs/>
          <w:lang w:val="el-GR"/>
        </w:rPr>
        <w:t>ΕΠ «Ανταγωνιστικότητα και Αειφόρος Ανάπτυξη»</w:t>
      </w:r>
      <w:r>
        <w:rPr>
          <w:bCs/>
          <w:lang w:val="el-GR"/>
        </w:rPr>
        <w:t xml:space="preserve"> προνοούνται δράσεις που συμβάλουν στην ολοκληρωμένη εδαφική ανάπτυξη σε αστικές περιοχές, οι οποίες στοχεύουν στην επίτευξη βιώσιμης αστικής ανάπτυξης.</w:t>
      </w:r>
      <w:r w:rsidRPr="00073C5E">
        <w:rPr>
          <w:bCs/>
          <w:lang w:val="el-GR"/>
        </w:rPr>
        <w:t xml:space="preserve"> Όπως καταγράφεται και στη Συμφωνία Εταιρικής Σχέσης, οι περιοχές που επιλέγηκαν</w:t>
      </w:r>
      <w:r>
        <w:rPr>
          <w:bCs/>
          <w:lang w:val="el-GR"/>
        </w:rPr>
        <w:t xml:space="preserve"> </w:t>
      </w:r>
      <w:r w:rsidRPr="00073C5E">
        <w:rPr>
          <w:bCs/>
          <w:lang w:val="el-GR"/>
        </w:rPr>
        <w:t>είναι τα αστικά κέντρα των πόλεων της Λευκωσίας, Λεμεσού, Λάρνακας και Πάφου</w:t>
      </w:r>
      <w:r>
        <w:rPr>
          <w:bCs/>
          <w:lang w:val="el-GR"/>
        </w:rPr>
        <w:t xml:space="preserve">. </w:t>
      </w:r>
      <w:r w:rsidR="00A43B22">
        <w:rPr>
          <w:bCs/>
          <w:lang w:val="el-GR"/>
        </w:rPr>
        <w:t>Ο</w:t>
      </w:r>
      <w:r>
        <w:rPr>
          <w:bCs/>
          <w:lang w:val="el-GR"/>
        </w:rPr>
        <w:t xml:space="preserve">ι περιοχές αυτές αντιμετωπίζουν οξυμένα κοινωνικο-οικονομικά και περιβαλλοντικά προβλήματα και </w:t>
      </w:r>
      <w:r w:rsidRPr="004E4655">
        <w:rPr>
          <w:rFonts w:cs="Arial"/>
          <w:lang w:val="el-GR"/>
        </w:rPr>
        <w:t>σημαντική υποβάθμιση του κτιριακού τους αποθέματος</w:t>
      </w:r>
      <w:r w:rsidR="003B166E">
        <w:rPr>
          <w:rFonts w:cs="Arial"/>
          <w:lang w:val="el-GR"/>
        </w:rPr>
        <w:t>,</w:t>
      </w:r>
      <w:r>
        <w:rPr>
          <w:bCs/>
          <w:lang w:val="el-GR"/>
        </w:rPr>
        <w:t xml:space="preserve"> ενώ ταυτόχρονα παρουσιάζουν και λειτουργικής φύσης προβλήματα</w:t>
      </w:r>
      <w:r w:rsidR="003B166E">
        <w:rPr>
          <w:bCs/>
          <w:lang w:val="el-GR"/>
        </w:rPr>
        <w:t>,</w:t>
      </w:r>
      <w:r>
        <w:rPr>
          <w:bCs/>
          <w:lang w:val="el-GR"/>
        </w:rPr>
        <w:t xml:space="preserve"> όπως θέματα πρόσβασης και αστικής κινητικότητας. </w:t>
      </w:r>
    </w:p>
    <w:p w14:paraId="14897922" w14:textId="59180385" w:rsidR="001A7C69" w:rsidRDefault="001A7C69" w:rsidP="001A7C69">
      <w:pPr>
        <w:jc w:val="both"/>
        <w:rPr>
          <w:bCs/>
          <w:lang w:val="el-GR"/>
        </w:rPr>
      </w:pPr>
      <w:r>
        <w:rPr>
          <w:bCs/>
          <w:lang w:val="el-GR"/>
        </w:rPr>
        <w:t xml:space="preserve">Προς αντιμετώπιση των προβλημάτων αυτών, οι 4 Δήμοι προχώρησαν στην </w:t>
      </w:r>
      <w:r w:rsidRPr="00D47D56">
        <w:rPr>
          <w:bCs/>
          <w:lang w:val="el-GR"/>
        </w:rPr>
        <w:t>εκπόνηση Στρατηγικών Ολοκληρωμένης Βιώσιμης Αστικής Ανάπτυξης (ΟΒΑΑ)</w:t>
      </w:r>
      <w:r>
        <w:rPr>
          <w:bCs/>
          <w:lang w:val="el-GR"/>
        </w:rPr>
        <w:t xml:space="preserve">, οι οποίες αξιολογήθηκαν αρχικά από Επιτροπή Αξιολόγησης (Ιούνιος 2015) και στη συνέχεια εγκρίθηκαν από τη Διαχειριστική Αρχή (Οκτώβριος 2015). Η </w:t>
      </w:r>
      <w:r>
        <w:rPr>
          <w:bCs/>
          <w:lang w:val="el-GR"/>
        </w:rPr>
        <w:lastRenderedPageBreak/>
        <w:t>επιλογή των έργων για υλοποίηση των Στρατηγικών ΟΒΑΑ γίνεται από τους Δήμους, σύμφωνα με το άρθρο 7(4) του Κανονισμού (ΕΕ) 1301/2013.</w:t>
      </w:r>
    </w:p>
    <w:p w14:paraId="78F8BDFA" w14:textId="6F92B1AF" w:rsidR="001A7C69" w:rsidRDefault="001A7C69" w:rsidP="001A7C69">
      <w:pPr>
        <w:jc w:val="both"/>
        <w:rPr>
          <w:bCs/>
          <w:lang w:val="el-GR"/>
        </w:rPr>
      </w:pPr>
      <w:r>
        <w:rPr>
          <w:bCs/>
          <w:lang w:val="el-GR"/>
        </w:rPr>
        <w:t xml:space="preserve">Μέσω των ολοκληρωμένων αστικών παρεμβάσεων, οι περιοχές αυτές θα μπορέσουν να λειτουργήσουν </w:t>
      </w:r>
      <w:r w:rsidR="003B166E">
        <w:rPr>
          <w:bCs/>
          <w:lang w:val="el-GR"/>
        </w:rPr>
        <w:t>ως</w:t>
      </w:r>
      <w:r>
        <w:rPr>
          <w:bCs/>
          <w:lang w:val="el-GR"/>
        </w:rPr>
        <w:t xml:space="preserve"> πόλοι ανάπτυξης</w:t>
      </w:r>
      <w:r w:rsidR="003B166E">
        <w:rPr>
          <w:bCs/>
          <w:lang w:val="el-GR"/>
        </w:rPr>
        <w:t>,</w:t>
      </w:r>
      <w:r>
        <w:rPr>
          <w:bCs/>
          <w:lang w:val="el-GR"/>
        </w:rPr>
        <w:t xml:space="preserve"> λόγω της συγκέντρωσης οικονομικών δραστηριοτήτων, ερευνητικών και εκπαιδευτικών υποδομών και ανθρώπινου δυναμικού υψηλού μορφωτικού επιπέδου. Στόχος της στρατηγικής των </w:t>
      </w:r>
      <w:r w:rsidR="00A43B22">
        <w:rPr>
          <w:bCs/>
          <w:lang w:val="el-GR"/>
        </w:rPr>
        <w:t>ΟΒΑΑ</w:t>
      </w:r>
      <w:r>
        <w:rPr>
          <w:bCs/>
          <w:lang w:val="el-GR"/>
        </w:rPr>
        <w:t xml:space="preserve"> είναι η δημιουργία πολιτιστικών, κοινωνικών, οικονομικών και περιβαλλοντικών υποδομών και μηχανισμών που θα ενισχύσουν την αναπτυξιακή προοπτική των ιστορικών κέντρων των αστικών περιοχών και θα συμβάλλουν στην επανεκκίνηση της οικονομίας.</w:t>
      </w:r>
    </w:p>
    <w:p w14:paraId="799D1B99" w14:textId="3F7E2044" w:rsidR="001A7C69" w:rsidRDefault="001A7C69" w:rsidP="001A7C69">
      <w:pPr>
        <w:jc w:val="both"/>
        <w:rPr>
          <w:bCs/>
          <w:lang w:val="el-GR"/>
        </w:rPr>
      </w:pPr>
      <w:r>
        <w:rPr>
          <w:bCs/>
          <w:lang w:val="el-GR"/>
        </w:rPr>
        <w:t xml:space="preserve">Το </w:t>
      </w:r>
      <w:r w:rsidRPr="003B166E">
        <w:rPr>
          <w:b/>
          <w:bCs/>
          <w:lang w:val="el-GR"/>
        </w:rPr>
        <w:t>ΕΤΠΑ</w:t>
      </w:r>
      <w:r>
        <w:rPr>
          <w:bCs/>
          <w:lang w:val="el-GR"/>
        </w:rPr>
        <w:t xml:space="preserve"> συγχρηματοδοτεί μέσω του </w:t>
      </w:r>
      <w:r w:rsidRPr="003B166E">
        <w:rPr>
          <w:bCs/>
          <w:lang w:val="el-GR"/>
        </w:rPr>
        <w:t>ΕΠ «Ανταγωνιστικότητα και Αειφόρος Ανάπτυξη»</w:t>
      </w:r>
      <w:r>
        <w:rPr>
          <w:bCs/>
          <w:lang w:val="el-GR"/>
        </w:rPr>
        <w:t xml:space="preserve"> μέρος της υλοποίησης των Στρατηγικών ΟΒΑΑ των 4 Δήμων. Τα </w:t>
      </w:r>
      <w:r>
        <w:rPr>
          <w:bCs/>
          <w:lang w:val="el-GR" w:bidi="el-GR"/>
        </w:rPr>
        <w:t>υπόλοιπα</w:t>
      </w:r>
      <w:r>
        <w:rPr>
          <w:bCs/>
          <w:lang w:val="el-GR"/>
        </w:rPr>
        <w:t xml:space="preserve"> έργα/δράσεις που απαιτούνται για την πλήρη εφαρμογή των Στρατηγικών υλοποιούνται είτε μέσω ιδίων πόρων των Δήμων ή/και μέσω δανειοδότησης από χρηματοπιστωτικά ιδρύματα.</w:t>
      </w:r>
    </w:p>
    <w:p w14:paraId="1B38BF7C" w14:textId="0B825EBE" w:rsidR="001A7C69" w:rsidRDefault="001A7C69" w:rsidP="001A7C69">
      <w:pPr>
        <w:jc w:val="both"/>
        <w:rPr>
          <w:bCs/>
          <w:lang w:val="el-GR"/>
        </w:rPr>
      </w:pPr>
      <w:r w:rsidRPr="000B10D4">
        <w:rPr>
          <w:lang w:val="el-GR"/>
        </w:rPr>
        <w:t>Μέχρι τ</w:t>
      </w:r>
      <w:r>
        <w:rPr>
          <w:lang w:val="el-GR"/>
        </w:rPr>
        <w:t>ις</w:t>
      </w:r>
      <w:r w:rsidRPr="000B10D4">
        <w:rPr>
          <w:lang w:val="el-GR"/>
        </w:rPr>
        <w:t xml:space="preserve"> </w:t>
      </w:r>
      <w:r w:rsidRPr="00AE49C9">
        <w:rPr>
          <w:lang w:val="el-GR"/>
        </w:rPr>
        <w:t xml:space="preserve">31/12/2016, </w:t>
      </w:r>
      <w:r w:rsidRPr="00AE49C9">
        <w:rPr>
          <w:bCs/>
          <w:lang w:val="el-GR"/>
        </w:rPr>
        <w:t>είχε παρατηρηθεί σημαντική πρόοδος υλοποίησης της Στρατηγικής ΟΒΑΑ του Δήμου Πάφου</w:t>
      </w:r>
      <w:r w:rsidR="00AE49C9">
        <w:rPr>
          <w:bCs/>
          <w:lang w:val="el-GR"/>
        </w:rPr>
        <w:t>,</w:t>
      </w:r>
      <w:r>
        <w:rPr>
          <w:bCs/>
          <w:lang w:val="el-GR"/>
        </w:rPr>
        <w:t xml:space="preserve"> καθώς </w:t>
      </w:r>
      <w:r>
        <w:rPr>
          <w:lang w:val="el-GR"/>
        </w:rPr>
        <w:t>είχαν προκηρυχθεί 4 Προσκλήσεις Υποβολής Προτάσεων για έργα του, που αφορούσαν στις Επ</w:t>
      </w:r>
      <w:r w:rsidR="00AE49C9">
        <w:rPr>
          <w:lang w:val="el-GR"/>
        </w:rPr>
        <w:t>ενδυτικές</w:t>
      </w:r>
      <w:r>
        <w:rPr>
          <w:lang w:val="el-GR"/>
        </w:rPr>
        <w:t xml:space="preserve"> Πρ</w:t>
      </w:r>
      <w:r w:rsidR="00AE49C9">
        <w:rPr>
          <w:lang w:val="el-GR"/>
        </w:rPr>
        <w:t>οτεραιότητες</w:t>
      </w:r>
      <w:r>
        <w:rPr>
          <w:lang w:val="el-GR"/>
        </w:rPr>
        <w:t xml:space="preserve"> </w:t>
      </w:r>
      <w:r w:rsidRPr="000B10D4">
        <w:rPr>
          <w:lang w:val="el-GR"/>
        </w:rPr>
        <w:t>3α, 6γ, 6ε και 7γ</w:t>
      </w:r>
      <w:r>
        <w:rPr>
          <w:lang w:val="el-GR"/>
        </w:rPr>
        <w:t xml:space="preserve">. Παρά το γεγονός ότι μέχρι </w:t>
      </w:r>
      <w:r w:rsidR="00AE49C9">
        <w:rPr>
          <w:lang w:val="el-GR"/>
        </w:rPr>
        <w:t xml:space="preserve">31/12/16 </w:t>
      </w:r>
      <w:r>
        <w:rPr>
          <w:lang w:val="el-GR"/>
        </w:rPr>
        <w:t>δεν είχε ενταχθεί κανένα έργο στο ΕΠ</w:t>
      </w:r>
      <w:r w:rsidR="00AE49C9">
        <w:rPr>
          <w:lang w:val="el-GR"/>
        </w:rPr>
        <w:t>,</w:t>
      </w:r>
      <w:r>
        <w:rPr>
          <w:lang w:val="el-GR"/>
        </w:rPr>
        <w:t xml:space="preserve"> ς και τα 7 υποψήφια προς ένταξη έργα του Δήμου Πάφου βρίσκονταν σε προχωρημένο στάδιο κατασκευής, </w:t>
      </w:r>
      <w:r>
        <w:rPr>
          <w:bCs/>
          <w:lang w:val="el-GR"/>
        </w:rPr>
        <w:t>τα πλείστα εκ των οποίων αναμένεται να ολοκληρωθούν μέσα στο 2017. Στους υπόλοιπους 3 Δήμους, η υλοποίηση βρισκόταν το 2016 σε αρχικό στάδιο και περιλάμβανε κυρίως την ετοιμασία κατασκευαστικών σχεδίων για τα προγραμματιζόμενα έργα και την ετοιμασία των εγγράφων προκήρυξης διαγωνισμών. Οι πρώτοι διαγωνισμοί στους 3 Δήμους αναμένεται να προκηρυχθούν μέσα στο 2017.</w:t>
      </w:r>
    </w:p>
    <w:p w14:paraId="6B16B81C" w14:textId="00CC0543" w:rsidR="001A7C69" w:rsidRDefault="001A7C69" w:rsidP="001A7C69">
      <w:pPr>
        <w:jc w:val="both"/>
        <w:rPr>
          <w:bCs/>
          <w:lang w:val="el-GR"/>
        </w:rPr>
      </w:pPr>
      <w:r>
        <w:rPr>
          <w:bCs/>
          <w:lang w:val="el-GR"/>
        </w:rPr>
        <w:t xml:space="preserve">Αξίζει να σημειωθεί ότι μέχρι το τέλος του 2016 </w:t>
      </w:r>
      <w:r w:rsidRPr="004D2952">
        <w:rPr>
          <w:bCs/>
          <w:lang w:val="el-GR"/>
        </w:rPr>
        <w:t xml:space="preserve">είχαν πραγματοποιηθεί </w:t>
      </w:r>
      <w:r w:rsidRPr="00E02447">
        <w:rPr>
          <w:b/>
          <w:bCs/>
          <w:lang w:val="el-GR"/>
        </w:rPr>
        <w:t>επιλέξιμες δημόσιες δαπάνες ύψους €23,7 εκ.</w:t>
      </w:r>
      <w:r>
        <w:rPr>
          <w:bCs/>
          <w:lang w:val="el-GR"/>
        </w:rPr>
        <w:t xml:space="preserve"> στα</w:t>
      </w:r>
      <w:r w:rsidRPr="004D2952">
        <w:rPr>
          <w:bCs/>
          <w:lang w:val="el-GR"/>
        </w:rPr>
        <w:t xml:space="preserve"> υποψήφια προς ένταξη έργα</w:t>
      </w:r>
      <w:r>
        <w:rPr>
          <w:bCs/>
          <w:lang w:val="el-GR"/>
        </w:rPr>
        <w:t xml:space="preserve"> που αφορούν τη Βιώσιμη Αστική Ανάπτυξη</w:t>
      </w:r>
      <w:r w:rsidRPr="004D2952">
        <w:rPr>
          <w:bCs/>
          <w:lang w:val="el-GR"/>
        </w:rPr>
        <w:t>. Συγκεκριμένα, €12,1 εκ. αφορούσαν δαπάνες έργων του Δήμου Πάφου, €11,3 εκ. έργα του Δήμου Λευκωσίας και €0,3 εκ. έργα των Δήμων Λεμεσού και Λάρνακας.</w:t>
      </w:r>
    </w:p>
    <w:p w14:paraId="61A1EFA0" w14:textId="2DF28B38" w:rsidR="001A7C69" w:rsidRDefault="001A7C69" w:rsidP="001A7C69">
      <w:pPr>
        <w:jc w:val="both"/>
        <w:rPr>
          <w:lang w:val="el-GR"/>
        </w:rPr>
      </w:pPr>
      <w:r>
        <w:rPr>
          <w:lang w:val="el-GR"/>
        </w:rPr>
        <w:t xml:space="preserve">Επίσης, σημειώνεται ότι οι Δείκτες Αποτελέσματος και Εκροών του </w:t>
      </w:r>
      <w:r w:rsidRPr="00084562">
        <w:rPr>
          <w:lang w:val="el-GR"/>
        </w:rPr>
        <w:t>Ε</w:t>
      </w:r>
      <w:r w:rsidRPr="00084562">
        <w:rPr>
          <w:bCs/>
          <w:lang w:val="el-GR"/>
        </w:rPr>
        <w:t>.Π. «Ανταγωνιστικότητα και Αειφόρος Ανάπτυξη»</w:t>
      </w:r>
      <w:r>
        <w:rPr>
          <w:bCs/>
          <w:lang w:val="el-GR"/>
        </w:rPr>
        <w:t xml:space="preserve"> </w:t>
      </w:r>
      <w:r>
        <w:rPr>
          <w:lang w:val="el-GR"/>
        </w:rPr>
        <w:t xml:space="preserve">που αφορούν τη Βιώσιμη Αστική Ανάπτυξη  τελούν υπό αναθεώρηση, </w:t>
      </w:r>
      <w:r w:rsidRPr="00625CDF">
        <w:rPr>
          <w:lang w:val="el-GR"/>
        </w:rPr>
        <w:t xml:space="preserve">μετά την έγκριση των Στρατηγικών Ολοκληρωμένης Βιώσιμης Αστικής Ανάπτυξης των τεσσάρων αστικών </w:t>
      </w:r>
      <w:r w:rsidR="00084562">
        <w:rPr>
          <w:lang w:val="el-GR"/>
        </w:rPr>
        <w:t>κέντρων</w:t>
      </w:r>
      <w:r w:rsidRPr="00625CDF">
        <w:rPr>
          <w:lang w:val="el-GR"/>
        </w:rPr>
        <w:t>. Η αναθεώρηση του Άξονα θα τεθεί σε ισχύ μετά την έγκριση της σχετικής τροποποίησης του ΕΠ από την Ευρωπαϊκή Επιτροπή (αναμένεται τέλος 2017).</w:t>
      </w:r>
    </w:p>
    <w:p w14:paraId="1C72A4DE" w14:textId="77777777" w:rsidR="005779A6" w:rsidRDefault="005779A6" w:rsidP="00C804CF">
      <w:pPr>
        <w:spacing w:after="0"/>
        <w:rPr>
          <w:lang w:val="el-GR"/>
        </w:rPr>
      </w:pPr>
    </w:p>
    <w:p w14:paraId="26B36ADF" w14:textId="77777777" w:rsidR="008931C8" w:rsidRPr="001705FC" w:rsidRDefault="008931C8" w:rsidP="00A43B22">
      <w:pPr>
        <w:jc w:val="both"/>
        <w:rPr>
          <w:b/>
          <w:i/>
          <w:lang w:val="el-GR"/>
        </w:rPr>
      </w:pPr>
      <w:r w:rsidRPr="001705FC">
        <w:rPr>
          <w:b/>
          <w:i/>
          <w:lang w:val="el-GR"/>
        </w:rPr>
        <w:t>δ) Σχετικά με το άρθρο 15 παράγραφος 2 στοιχείο α) σημείο ii) του κανονισμού (ΕΕ) αριθ. 1303/2013, κατά περίπτωση, επισκόπηση της εφαρμογής των μακροπεριφερειακών στρατηγικών και των στρατηγικών για τις θαλάσσιες λεκάνες.</w:t>
      </w:r>
    </w:p>
    <w:p w14:paraId="4C17B0D2" w14:textId="76828AC4" w:rsidR="001A7C69" w:rsidRDefault="001A7C69" w:rsidP="001A7C69">
      <w:pPr>
        <w:jc w:val="both"/>
        <w:rPr>
          <w:lang w:val="el-GR"/>
        </w:rPr>
      </w:pPr>
      <w:r w:rsidRPr="004E4655">
        <w:rPr>
          <w:lang w:val="el-GR"/>
        </w:rPr>
        <w:t xml:space="preserve">Η Κύπρος δεν </w:t>
      </w:r>
      <w:r w:rsidRPr="004E4655">
        <w:rPr>
          <w:bCs/>
          <w:lang w:val="el-GR"/>
        </w:rPr>
        <w:t>συμμετέχει</w:t>
      </w:r>
      <w:r w:rsidRPr="004E4655">
        <w:rPr>
          <w:lang w:val="el-GR"/>
        </w:rPr>
        <w:t xml:space="preserve"> στο παρόν στάδιο σε προγράμματα μακροπεριφερειακών στρατηγικών ή στρατηγικών για τις θαλάσσιες λεκάνες.</w:t>
      </w:r>
    </w:p>
    <w:p w14:paraId="43E750E4" w14:textId="77777777" w:rsidR="001A7C69" w:rsidRDefault="001A7C69" w:rsidP="00537901">
      <w:pPr>
        <w:rPr>
          <w:lang w:val="el-GR"/>
        </w:rPr>
      </w:pPr>
    </w:p>
    <w:p w14:paraId="3A08523F" w14:textId="77777777" w:rsidR="008931C8" w:rsidRPr="001705FC" w:rsidRDefault="008931C8" w:rsidP="00084562">
      <w:pPr>
        <w:spacing w:after="0"/>
        <w:jc w:val="both"/>
        <w:rPr>
          <w:b/>
          <w:i/>
          <w:lang w:val="el-GR"/>
        </w:rPr>
      </w:pPr>
      <w:r w:rsidRPr="001705FC">
        <w:rPr>
          <w:b/>
          <w:i/>
          <w:lang w:val="el-GR"/>
        </w:rPr>
        <w:lastRenderedPageBreak/>
        <w:t>ε) Σχετικά με το άρθρο 15 παράγραφος 2 στοιχείο α) σημείο iii) του κανονισμού (ΕΕ) αριθ. 1303/2013, κατά περίπτωση, επισκόπηση της εφαρμογής της ολοκληρωμένης προσέγγισης για την αντιμετώπιση των αναγκών των γεωγραφικών περιοχών που πλήττονται κατ' εξοχήν από τη φτώχεια ή των στοχευόμενων ομάδων που αντιμετωπίζουν τον υψηλότερο κίνδυνο διακρίσεων ή κοινωνικού αποκλεισμού.</w:t>
      </w:r>
    </w:p>
    <w:p w14:paraId="6C480630" w14:textId="77777777" w:rsidR="008931C8" w:rsidRPr="00084562" w:rsidRDefault="008931C8" w:rsidP="001D583B">
      <w:pPr>
        <w:numPr>
          <w:ilvl w:val="1"/>
          <w:numId w:val="21"/>
        </w:numPr>
        <w:spacing w:after="0"/>
        <w:ind w:left="540" w:hanging="360"/>
        <w:rPr>
          <w:i/>
          <w:lang w:val="el-GR"/>
        </w:rPr>
      </w:pPr>
      <w:r w:rsidRPr="00084562">
        <w:rPr>
          <w:i/>
          <w:lang w:val="el-GR"/>
        </w:rPr>
        <w:t>Περιγραφή των μέτρων που λήφθηκαν για την αντιμετώπιση των ειδικών αναγκών των γεωγραφικών περιοχών που πλήττονται κατ' εξοχήν από τη φτώχεια ή των στοχευόμενων ομάδων που αντιμετωπίζουν τον υψηλότερο κίνδυνο διακρίσεων ή κοινωνικού αποκλεισμού.</w:t>
      </w:r>
    </w:p>
    <w:p w14:paraId="22224E55" w14:textId="77777777" w:rsidR="008931C8" w:rsidRPr="00084562" w:rsidRDefault="008931C8" w:rsidP="001D583B">
      <w:pPr>
        <w:numPr>
          <w:ilvl w:val="1"/>
          <w:numId w:val="21"/>
        </w:numPr>
        <w:ind w:left="547" w:hanging="360"/>
        <w:rPr>
          <w:i/>
          <w:lang w:val="el-GR"/>
        </w:rPr>
      </w:pPr>
      <w:r w:rsidRPr="00084562">
        <w:rPr>
          <w:i/>
          <w:lang w:val="el-GR"/>
        </w:rPr>
        <w:t>Περιγραφή των αποτελεσμάτων που επιτεύχθηκαν όσον αφορά την αντιμετώπιση των αναγκών των εν λόγω γεωγραφικών περιοχών/στοχευόμενων ομάδων.</w:t>
      </w:r>
    </w:p>
    <w:p w14:paraId="1923E620" w14:textId="77777777" w:rsidR="001A7C69" w:rsidRPr="00C77FEA" w:rsidRDefault="001A7C69" w:rsidP="001A7C69">
      <w:pPr>
        <w:jc w:val="both"/>
        <w:rPr>
          <w:lang w:val="el-GR"/>
        </w:rPr>
      </w:pPr>
      <w:r w:rsidRPr="00C77FEA">
        <w:rPr>
          <w:lang w:val="el-GR"/>
        </w:rPr>
        <w:t xml:space="preserve">Στην Κύπρο </w:t>
      </w:r>
      <w:r w:rsidR="00A43B22">
        <w:rPr>
          <w:lang w:val="el-GR"/>
        </w:rPr>
        <w:t>εντοπίζονται</w:t>
      </w:r>
      <w:r w:rsidRPr="00C77FEA">
        <w:rPr>
          <w:lang w:val="el-GR"/>
        </w:rPr>
        <w:t xml:space="preserve"> μικροί θύλακες με ιδιαίτερα αυξημένη ανεργία και έντονη πληθυσμιακή συγκέντρωση ειδικών ομάδων πληθυσμού με υψηλό κίνδυνο αποκ</w:t>
      </w:r>
      <w:r w:rsidR="0025474D">
        <w:rPr>
          <w:lang w:val="el-GR"/>
        </w:rPr>
        <w:t xml:space="preserve">λεισμού, </w:t>
      </w:r>
      <w:r w:rsidRPr="00C77FEA">
        <w:rPr>
          <w:lang w:val="el-GR"/>
        </w:rPr>
        <w:t>κυρίως στα αστικά κέντρα</w:t>
      </w:r>
      <w:r>
        <w:rPr>
          <w:lang w:val="el-GR"/>
        </w:rPr>
        <w:t xml:space="preserve"> </w:t>
      </w:r>
      <w:r w:rsidRPr="00073C5E">
        <w:rPr>
          <w:lang w:val="el-GR" w:bidi="el-GR"/>
        </w:rPr>
        <w:t>(Δήμοι Λευκωσίας, Λεμεσού, Λάρνακας και Πάφου)</w:t>
      </w:r>
      <w:r w:rsidRPr="00C77FEA">
        <w:rPr>
          <w:lang w:val="el-GR"/>
        </w:rPr>
        <w:t>, ωστόσο δεν μπορούν να προσδιορισθούν χωρικά</w:t>
      </w:r>
      <w:r w:rsidR="00084562">
        <w:rPr>
          <w:lang w:val="el-GR"/>
        </w:rPr>
        <w:t>,</w:t>
      </w:r>
      <w:r w:rsidRPr="00C77FEA">
        <w:rPr>
          <w:lang w:val="el-GR"/>
        </w:rPr>
        <w:t xml:space="preserve"> λόγω έλλειψης σχετικών στατιστικών στοιχείων.</w:t>
      </w:r>
    </w:p>
    <w:p w14:paraId="11402BE6" w14:textId="2E060484" w:rsidR="001A7C69" w:rsidRPr="00C77FEA" w:rsidRDefault="001A7C69" w:rsidP="001A7C69">
      <w:pPr>
        <w:jc w:val="both"/>
        <w:rPr>
          <w:lang w:val="el-GR"/>
        </w:rPr>
      </w:pPr>
      <w:r w:rsidRPr="00C77FEA">
        <w:rPr>
          <w:lang w:val="el-GR"/>
        </w:rPr>
        <w:t>Σε τέτοιες ομάδες, με υψηλή επικινδυνότητα διακρίσεων ή κοινωνικού αποκλεισμού, ανήκουν τα άνεργα και μακροχρόνια άνεργα άτομα, οι φτωχοί εργαζόμενοι, οι άστεγοι, οι μετανάστες και υπήκοοι τρίτων χωρών, τα άτομα με αναπηρία, οι φυλακισμένοι/αποφυλακισμένοι, τα μονογονεϊκά νοικοκυριά, τα άτομα με χαμηλό επίπεδο εκπαίδευσης, κλπ. Το ποσοστό πληθυσμού σε κίνδυνο φτώχειας ή κοινωνικό αποκλεισμό στην Κύπρο το 2013 ανήλθε σε 27,8% (ήτοι 240.000 άτομα), το 2015 σε 28,9%, ενώ ο εθνικός στόχος που έχει τεθεί στο Εθνικό Μεταρρυθμιστικό Πρόγραμμα για το 2020 είναι το ποσοστό αυτό να μειωθεί στο 19,3%.</w:t>
      </w:r>
    </w:p>
    <w:p w14:paraId="65E0DAF6" w14:textId="77777777" w:rsidR="001A7C69" w:rsidRPr="00C77FEA" w:rsidRDefault="001A7C69" w:rsidP="001A7C69">
      <w:pPr>
        <w:jc w:val="both"/>
        <w:rPr>
          <w:lang w:val="el-GR"/>
        </w:rPr>
      </w:pPr>
      <w:r w:rsidRPr="00C77FEA">
        <w:rPr>
          <w:lang w:val="el-GR"/>
        </w:rPr>
        <w:t xml:space="preserve">Για την καταπολέμηση της φτώχειας και των διακρίσεων προκύπτει </w:t>
      </w:r>
      <w:r w:rsidRPr="00C77FEA">
        <w:rPr>
          <w:b/>
          <w:bCs/>
          <w:lang w:val="el-GR"/>
        </w:rPr>
        <w:t>η ανάγκη για αύξηση της απασχόλησης των ομάδων υψηλού κινδύνου φτώχειας,</w:t>
      </w:r>
      <w:r w:rsidRPr="00C77FEA">
        <w:rPr>
          <w:lang w:val="el-GR"/>
        </w:rPr>
        <w:t xml:space="preserve"> με στοχευμένες παρεμβάσεις αφενός για την απασχόληση ατόμων ευάλωτων ομάδων και αφετέρου για την εργασιακή αποκατάσταση/ ενεργοποίηση ευάλωτων ομάδων που στηρίζονται από προνοιακά επιδόματα. Πρόσθετα, προκύπτει </w:t>
      </w:r>
      <w:r w:rsidRPr="00C77FEA">
        <w:rPr>
          <w:b/>
          <w:bCs/>
          <w:lang w:val="el-GR"/>
        </w:rPr>
        <w:t>η ανάγκη κοινωνικής ενσωμάτωσης ευπαθών ομάδων του πληθυσμού</w:t>
      </w:r>
      <w:r w:rsidRPr="00C77FEA">
        <w:rPr>
          <w:lang w:val="el-GR"/>
        </w:rPr>
        <w:t xml:space="preserve">, περιλαμβανομένων </w:t>
      </w:r>
      <w:r w:rsidR="00084562">
        <w:rPr>
          <w:lang w:val="el-GR"/>
        </w:rPr>
        <w:t>Ατόμων με Αναπηρία (</w:t>
      </w:r>
      <w:r w:rsidRPr="00C77FEA">
        <w:rPr>
          <w:lang w:val="el-GR"/>
        </w:rPr>
        <w:t>ΑμεΑ</w:t>
      </w:r>
      <w:r w:rsidR="00084562">
        <w:rPr>
          <w:lang w:val="el-GR"/>
        </w:rPr>
        <w:t>),</w:t>
      </w:r>
      <w:r w:rsidRPr="00C77FEA">
        <w:rPr>
          <w:lang w:val="el-GR"/>
        </w:rPr>
        <w:t xml:space="preserve"> καθώς και ευάλωτων ομάδων μαθητών, που αντιμετωπίζουν κίνδυνο κοινωνικού αποκλεισμού και διακρίσεων. </w:t>
      </w:r>
    </w:p>
    <w:p w14:paraId="7E3D0959" w14:textId="5AA4E06E" w:rsidR="001A7C69" w:rsidRPr="00073C5E" w:rsidRDefault="001A7C69" w:rsidP="001A7C69">
      <w:pPr>
        <w:jc w:val="both"/>
        <w:rPr>
          <w:b/>
          <w:lang w:val="el-GR"/>
        </w:rPr>
      </w:pPr>
      <w:r w:rsidRPr="00C77FEA">
        <w:rPr>
          <w:lang w:val="el-GR"/>
        </w:rPr>
        <w:t>Με δεδομένο ότι</w:t>
      </w:r>
      <w:r>
        <w:t> </w:t>
      </w:r>
      <w:r w:rsidRPr="00C77FEA">
        <w:rPr>
          <w:lang w:val="el-GR"/>
        </w:rPr>
        <w:t xml:space="preserve"> οι γεωγραφικές περιοχές που πλήττονται κατ' εξοχήν από τη φτώχεια, τις διακρίσεις και τον κοινωνικό αποκλεισμό είναι οι </w:t>
      </w:r>
      <w:r w:rsidRPr="00084562">
        <w:rPr>
          <w:bCs/>
          <w:lang w:val="el-GR"/>
        </w:rPr>
        <w:t>αστικές περιοχές</w:t>
      </w:r>
      <w:r w:rsidRPr="00C77FEA">
        <w:rPr>
          <w:lang w:val="el-GR"/>
        </w:rPr>
        <w:t xml:space="preserve">, η καταπολέμηση της φτώχειας και των διακρίσεων εντάσσεται σε ένα γενικότερο πλαίσιο χωρικής ανάπτυξης, τη </w:t>
      </w:r>
      <w:r w:rsidRPr="00084562">
        <w:rPr>
          <w:bCs/>
          <w:lang w:val="el-GR"/>
        </w:rPr>
        <w:t>Βιώσιμη Αστική Ανάπτυξη</w:t>
      </w:r>
      <w:r w:rsidRPr="00C77FEA">
        <w:rPr>
          <w:lang w:val="el-GR"/>
        </w:rPr>
        <w:t xml:space="preserve">, που συγχρηματοδοτείται από το ΕΤΠΑ, στο πλαίσιο του </w:t>
      </w:r>
      <w:r w:rsidRPr="00084562">
        <w:rPr>
          <w:lang w:val="el-GR"/>
        </w:rPr>
        <w:t>ΕΠ «Ανταγωνιστικότητα και Αειφόρος Ανάπτυξη».</w:t>
      </w:r>
      <w:r>
        <w:rPr>
          <w:b/>
          <w:lang w:val="el-GR"/>
        </w:rPr>
        <w:t xml:space="preserve"> </w:t>
      </w:r>
      <w:r w:rsidRPr="00073C5E">
        <w:rPr>
          <w:rFonts w:cs="Calibri"/>
          <w:lang w:val="el-GR"/>
        </w:rPr>
        <w:t>Για αντιμετώπιση των συνθηκών που επικρατούν στα αστικά κέντρα, οι προαναφερθέντες Δήμοι κλήθηκαν να ετοιμάσουν Στρατηγικές Ολοκληρωμένης Βιώσιμης Αστικής Ανάπτυξης (ΟΒΑΑ), οι οποίες εγκρίθηκαν από τη Διαχειριστική Αρχή τον Οκτώβριο του 2015.</w:t>
      </w:r>
    </w:p>
    <w:p w14:paraId="069C9073" w14:textId="55A6DB3D" w:rsidR="001A7C69" w:rsidRPr="00073C5E" w:rsidRDefault="001A7C69" w:rsidP="001A7C69">
      <w:pPr>
        <w:jc w:val="both"/>
        <w:rPr>
          <w:bCs/>
          <w:lang w:val="el-GR"/>
        </w:rPr>
      </w:pPr>
      <w:r w:rsidRPr="00073C5E">
        <w:rPr>
          <w:bCs/>
          <w:lang w:val="el-GR"/>
        </w:rPr>
        <w:t xml:space="preserve">Στις </w:t>
      </w:r>
      <w:r w:rsidRPr="001006DE">
        <w:rPr>
          <w:rFonts w:cs="Calibri"/>
          <w:b/>
          <w:lang w:val="el-GR"/>
        </w:rPr>
        <w:t>Στρατηγικές</w:t>
      </w:r>
      <w:r w:rsidRPr="001006DE">
        <w:rPr>
          <w:b/>
          <w:bCs/>
          <w:lang w:val="el-GR"/>
        </w:rPr>
        <w:t xml:space="preserve"> ΟΒΑΑ</w:t>
      </w:r>
      <w:r w:rsidRPr="00073C5E">
        <w:rPr>
          <w:bCs/>
          <w:lang w:val="el-GR"/>
        </w:rPr>
        <w:t xml:space="preserve"> περιλαμβάνο</w:t>
      </w:r>
      <w:r w:rsidR="00084562">
        <w:rPr>
          <w:bCs/>
          <w:lang w:val="el-GR"/>
        </w:rPr>
        <w:t>υ</w:t>
      </w:r>
      <w:r w:rsidRPr="00073C5E">
        <w:rPr>
          <w:bCs/>
          <w:lang w:val="el-GR"/>
        </w:rPr>
        <w:t>ν παρεμβάσεις σε συγκεκριμένα τμήματα των αστικών περιοχών ανά Δήμο, που συγκέντρωσαν</w:t>
      </w:r>
      <w:r w:rsidR="00084562">
        <w:rPr>
          <w:bCs/>
          <w:lang w:val="el-GR"/>
        </w:rPr>
        <w:t>,</w:t>
      </w:r>
      <w:r w:rsidRPr="00073C5E">
        <w:rPr>
          <w:bCs/>
          <w:lang w:val="el-GR"/>
        </w:rPr>
        <w:t xml:space="preserve"> μεταξύ άλλων</w:t>
      </w:r>
      <w:r w:rsidR="00084562">
        <w:rPr>
          <w:bCs/>
          <w:lang w:val="el-GR"/>
        </w:rPr>
        <w:t>,</w:t>
      </w:r>
      <w:r w:rsidRPr="00073C5E">
        <w:rPr>
          <w:bCs/>
          <w:lang w:val="el-GR"/>
        </w:rPr>
        <w:t xml:space="preserve"> τα παρακάτω χαρακτηριστικά:</w:t>
      </w:r>
    </w:p>
    <w:p w14:paraId="3F5E3BA8" w14:textId="77777777" w:rsidR="001A7C69" w:rsidRPr="00073C5E" w:rsidRDefault="001A7C69" w:rsidP="001D583B">
      <w:pPr>
        <w:numPr>
          <w:ilvl w:val="0"/>
          <w:numId w:val="24"/>
        </w:numPr>
        <w:jc w:val="both"/>
        <w:rPr>
          <w:bCs/>
          <w:lang w:val="el-GR"/>
        </w:rPr>
      </w:pPr>
      <w:r w:rsidRPr="00073C5E">
        <w:rPr>
          <w:b/>
          <w:bCs/>
          <w:lang w:val="el-GR"/>
        </w:rPr>
        <w:lastRenderedPageBreak/>
        <w:t>Δήμος Λευκωσίας</w:t>
      </w:r>
      <w:r w:rsidRPr="00073C5E">
        <w:rPr>
          <w:bCs/>
          <w:lang w:val="el-GR"/>
        </w:rPr>
        <w:t xml:space="preserve"> – το ελεύθερο τμήμα της Κεντρικής Περιοχής, όπου εντοπίζονται </w:t>
      </w:r>
      <w:r w:rsidRPr="00073C5E">
        <w:rPr>
          <w:lang w:val="el-GR"/>
        </w:rPr>
        <w:t>δυσμενείς δημογραφικοί δείκτες και σημαντικός αριθμός ευπαθών – ευάλωτων ομάδων πληθυσμού, αυξημένο ποσοστό πληθυσμού σε κίνδυνο φτώχειας και μεταναστών, χαμηλό ποσοστό απασχόλησης των νέων και υψηλό ποσοστό ανεργίας.</w:t>
      </w:r>
    </w:p>
    <w:p w14:paraId="1D23787F" w14:textId="77777777" w:rsidR="001A7C69" w:rsidRPr="00073C5E" w:rsidRDefault="001A7C69" w:rsidP="001D583B">
      <w:pPr>
        <w:numPr>
          <w:ilvl w:val="0"/>
          <w:numId w:val="24"/>
        </w:numPr>
        <w:jc w:val="both"/>
        <w:rPr>
          <w:lang w:val="el-GR"/>
        </w:rPr>
      </w:pPr>
      <w:r w:rsidRPr="00073C5E">
        <w:rPr>
          <w:b/>
          <w:lang w:val="el-GR"/>
        </w:rPr>
        <w:t>Δήμος Λάρνακας</w:t>
      </w:r>
      <w:r w:rsidRPr="00073C5E">
        <w:rPr>
          <w:lang w:val="el-GR"/>
        </w:rPr>
        <w:t xml:space="preserve"> – το τμήμα που καθορίζεται ως Περιοχή Αστικού Κέντρου στο Τοπικό Σχέδιο Λάρνακας, που χαρακτηρίζεται από ιδιαίτερα χαμηλό ποσοστό οικονομικά ενεργού πληθυσμού (7% έναντι 48% στο σύνολο του Δήμου), </w:t>
      </w:r>
      <w:bookmarkStart w:id="36" w:name="_Hlk483387396"/>
      <w:r w:rsidRPr="00073C5E">
        <w:rPr>
          <w:lang w:val="el-GR"/>
        </w:rPr>
        <w:t xml:space="preserve">υψηλό ποσοστό </w:t>
      </w:r>
      <w:bookmarkEnd w:id="36"/>
      <w:r w:rsidRPr="00073C5E">
        <w:rPr>
          <w:lang w:val="el-GR"/>
        </w:rPr>
        <w:t>ληπτών βοήθειας από τις κοινωνικές δομές (16% έναντι 3% στο σύνολο του Δήμου), υψηλό ποσοστό μονογονεϊκών νοικοκυριών και υψηλή συγκέντρωση αλλοδαπών (52% του συνόλου του πληθυσμού).</w:t>
      </w:r>
    </w:p>
    <w:p w14:paraId="74D25927" w14:textId="77777777" w:rsidR="001A7C69" w:rsidRPr="00073C5E" w:rsidRDefault="001A7C69" w:rsidP="001D583B">
      <w:pPr>
        <w:numPr>
          <w:ilvl w:val="0"/>
          <w:numId w:val="24"/>
        </w:numPr>
        <w:jc w:val="both"/>
        <w:rPr>
          <w:b/>
          <w:bCs/>
          <w:i/>
          <w:iCs/>
          <w:lang w:val="el-GR"/>
        </w:rPr>
      </w:pPr>
      <w:r w:rsidRPr="00073C5E">
        <w:rPr>
          <w:b/>
          <w:lang w:val="el-GR"/>
        </w:rPr>
        <w:t>Δήμος</w:t>
      </w:r>
      <w:r w:rsidRPr="00073C5E">
        <w:rPr>
          <w:lang w:val="el-GR"/>
        </w:rPr>
        <w:t xml:space="preserve"> </w:t>
      </w:r>
      <w:r w:rsidRPr="00073C5E">
        <w:rPr>
          <w:b/>
          <w:lang w:val="el-GR"/>
        </w:rPr>
        <w:t xml:space="preserve">Λεμεσού </w:t>
      </w:r>
      <w:r w:rsidRPr="00073C5E">
        <w:rPr>
          <w:lang w:val="el-GR"/>
        </w:rPr>
        <w:t xml:space="preserve">– υποβαθμισμένες περιοχές του αστικού κέντρου της Λεμεσού που χαρακτηρίζεται από </w:t>
      </w:r>
      <w:r w:rsidRPr="00073C5E">
        <w:rPr>
          <w:bCs/>
          <w:iCs/>
          <w:lang w:val="el-GR"/>
        </w:rPr>
        <w:t xml:space="preserve">υψηλά ποσοστά ανεργίας </w:t>
      </w:r>
      <w:r w:rsidRPr="00073C5E">
        <w:rPr>
          <w:iCs/>
          <w:lang w:val="el-GR"/>
        </w:rPr>
        <w:t>(50% υψηλότερη του εθνικού μέσου όρου), υψηλό</w:t>
      </w:r>
      <w:r w:rsidRPr="00073C5E">
        <w:rPr>
          <w:bCs/>
          <w:iCs/>
          <w:lang w:val="el-GR"/>
        </w:rPr>
        <w:t xml:space="preserve"> επίπεδο ανεργίας μακράς διάρκειας, υψηλό επίπεδο φτώχειας και αποκλεισμού, χαμηλό επίπεδο εκπαίδευσης, </w:t>
      </w:r>
      <w:r w:rsidRPr="00073C5E">
        <w:rPr>
          <w:iCs/>
          <w:lang w:val="el-GR"/>
        </w:rPr>
        <w:t>κοινωνικό εγκλεισμό ευπαθών ομάδων - ιδιαίτερα των μουσουλμάνων γυναικών,</w:t>
      </w:r>
      <w:r w:rsidRPr="00073C5E">
        <w:rPr>
          <w:bCs/>
          <w:iCs/>
          <w:lang w:val="el-GR"/>
        </w:rPr>
        <w:t xml:space="preserve"> </w:t>
      </w:r>
      <w:r w:rsidRPr="00073C5E">
        <w:rPr>
          <w:iCs/>
          <w:lang w:val="el-GR"/>
        </w:rPr>
        <w:t>φαινόμενα υψηλής χρήσης ψυχοτροπικών (ηρεμιστικών) φαρμάκων και αυτοκτονιών,</w:t>
      </w:r>
      <w:r w:rsidRPr="00073C5E">
        <w:rPr>
          <w:lang w:val="el-GR"/>
        </w:rPr>
        <w:t xml:space="preserve"> </w:t>
      </w:r>
      <w:r w:rsidRPr="00073C5E">
        <w:rPr>
          <w:bCs/>
          <w:iCs/>
          <w:lang w:val="el-GR"/>
        </w:rPr>
        <w:t>σημαντικές ελλείψεις ικανοτήτων – δεξιοτήτων, υψηλά ποσοστά φαινομένου εγκατάλειψης του σχολείου και σχετικού αναλφαβητισμού.</w:t>
      </w:r>
    </w:p>
    <w:p w14:paraId="44B33623" w14:textId="77777777" w:rsidR="001A7C69" w:rsidRPr="00073C5E" w:rsidRDefault="001A7C69" w:rsidP="001D583B">
      <w:pPr>
        <w:numPr>
          <w:ilvl w:val="0"/>
          <w:numId w:val="24"/>
        </w:numPr>
        <w:jc w:val="both"/>
        <w:rPr>
          <w:iCs/>
          <w:lang w:val="el-GR"/>
        </w:rPr>
      </w:pPr>
      <w:r w:rsidRPr="00073C5E">
        <w:rPr>
          <w:b/>
          <w:bCs/>
          <w:lang w:val="el-GR"/>
        </w:rPr>
        <w:t>Δήμος Πάφου</w:t>
      </w:r>
      <w:r w:rsidRPr="00073C5E">
        <w:rPr>
          <w:bCs/>
          <w:lang w:val="el-GR"/>
        </w:rPr>
        <w:t xml:space="preserve"> - </w:t>
      </w:r>
      <w:r w:rsidRPr="00073C5E">
        <w:rPr>
          <w:lang w:val="el-GR"/>
        </w:rPr>
        <w:t>το σύνολο του αστικού κέντρου στην οποία περιλαμβάνονται π</w:t>
      </w:r>
      <w:r w:rsidRPr="00073C5E">
        <w:rPr>
          <w:iCs/>
          <w:lang w:val="el-GR"/>
        </w:rPr>
        <w:t>εριοχές με υψηλό επίπεδο γήρανσης, φτώχειας και κοινωνικού αποκλεισμού</w:t>
      </w:r>
      <w:r w:rsidR="00084562">
        <w:rPr>
          <w:iCs/>
          <w:lang w:val="el-GR"/>
        </w:rPr>
        <w:t>,</w:t>
      </w:r>
      <w:r w:rsidRPr="00073C5E">
        <w:rPr>
          <w:iCs/>
          <w:lang w:val="el-GR"/>
        </w:rPr>
        <w:t xml:space="preserve"> λόγω της εκτεταμένης οικονομικής κρίσης, σημαντική μείωση του ποσοστού απασχόλησης, ιδιαίτερα αυξημένα κρούσματα φτώχειας και περιοχές αστικής απαξίωσης -υποβάθμισης.</w:t>
      </w:r>
    </w:p>
    <w:p w14:paraId="2A30B80E" w14:textId="188FB176" w:rsidR="001A7C69" w:rsidRPr="00073C5E" w:rsidRDefault="001A7C69" w:rsidP="001A7C69">
      <w:pPr>
        <w:jc w:val="both"/>
        <w:rPr>
          <w:bCs/>
          <w:lang w:val="el-GR"/>
        </w:rPr>
      </w:pPr>
      <w:r w:rsidRPr="00073C5E">
        <w:rPr>
          <w:bCs/>
          <w:lang w:val="el-GR"/>
        </w:rPr>
        <w:t xml:space="preserve">Στο πλαίσιο του Άξονα 6 του </w:t>
      </w:r>
      <w:r w:rsidRPr="003A1D34">
        <w:rPr>
          <w:lang w:val="el-GR"/>
        </w:rPr>
        <w:t>Ε.Π. «Ανταγωνιστικότητα και Αειφόρος Ανάπτυξη»  που αφορά τη Βιώσιμη Αστική Ανάπτυξη</w:t>
      </w:r>
      <w:r w:rsidRPr="003A1D34">
        <w:rPr>
          <w:bCs/>
          <w:lang w:val="el-GR"/>
        </w:rPr>
        <w:t>,</w:t>
      </w:r>
      <w:r w:rsidRPr="00073C5E">
        <w:rPr>
          <w:bCs/>
          <w:lang w:val="el-GR"/>
        </w:rPr>
        <w:t xml:space="preserve"> και ιδιαίτερα μέσω της Επ</w:t>
      </w:r>
      <w:r w:rsidR="003A1D34">
        <w:rPr>
          <w:bCs/>
          <w:lang w:val="el-GR"/>
        </w:rPr>
        <w:t>ενδυτικής</w:t>
      </w:r>
      <w:r w:rsidRPr="00073C5E">
        <w:rPr>
          <w:bCs/>
          <w:lang w:val="el-GR"/>
        </w:rPr>
        <w:t xml:space="preserve"> Πρ</w:t>
      </w:r>
      <w:r w:rsidR="003A1D34">
        <w:rPr>
          <w:bCs/>
          <w:lang w:val="el-GR"/>
        </w:rPr>
        <w:t>οτεραιότητας</w:t>
      </w:r>
      <w:r w:rsidRPr="00073C5E">
        <w:rPr>
          <w:bCs/>
          <w:lang w:val="el-GR"/>
        </w:rPr>
        <w:t xml:space="preserve"> 9β, δίδεται ιδιαίτερη έμφαση στην αντιμετώπιση ειδικών αναγκών των ευπαθών - ευάλωτων ομάδων του πληθυσμού στα αστικά κέντρα. Στις </w:t>
      </w:r>
      <w:r w:rsidRPr="00073C5E">
        <w:rPr>
          <w:lang w:val="el-GR"/>
        </w:rPr>
        <w:t>ομάδες αυτές, με υψηλή επικινδυνότητα διακρίσεων ή κοινωνικού αποκλεισμού, προσδιορίζονται τα άνεργα και μακροχρόνια άνεργα άτομα, οι φτωχοί εργαζόμενοι, οι άστεγοι, οι μετανάστες και υπήκοοι τρίτων χωρών, τα άτομα με αναπηρία, οι φυλακισμένοι/αποφυλακισμένοι, τα μονογονεϊκά νοικοκυριά, τα άτομα με χαμηλό επίπεδο εκπαίδευσης κ.λπ.</w:t>
      </w:r>
      <w:r w:rsidRPr="00073C5E">
        <w:rPr>
          <w:bCs/>
          <w:lang w:val="el-GR"/>
        </w:rPr>
        <w:t xml:space="preserve"> Μέχρι τις 31/12/16, οι σχετικές δράσεις όλων των Στρατηγικών ΟΒΑΑ βρ</w:t>
      </w:r>
      <w:r>
        <w:rPr>
          <w:bCs/>
          <w:lang w:val="el-GR"/>
        </w:rPr>
        <w:t>ίσκονταν στη φάση της ωρίμανσης</w:t>
      </w:r>
      <w:r w:rsidRPr="00073C5E">
        <w:rPr>
          <w:bCs/>
          <w:lang w:val="el-GR"/>
        </w:rPr>
        <w:t>.</w:t>
      </w:r>
    </w:p>
    <w:p w14:paraId="2A11B4AC" w14:textId="77777777" w:rsidR="001A7C69" w:rsidRPr="00073C5E" w:rsidRDefault="001A7C69" w:rsidP="001A7C69">
      <w:pPr>
        <w:jc w:val="both"/>
        <w:rPr>
          <w:bCs/>
          <w:lang w:val="el-GR"/>
        </w:rPr>
      </w:pPr>
      <w:r w:rsidRPr="00073C5E">
        <w:rPr>
          <w:bCs/>
          <w:lang w:val="el-GR"/>
        </w:rPr>
        <w:t>Πέραν των δράσεων στην Επ. Πρ. 9β, το σύνολο των έργων που προγραμματίζονται να υλοποιηθούν στο πλαίσιο εφαρμογής των Στρατηγι</w:t>
      </w:r>
      <w:r w:rsidR="00A43B22">
        <w:rPr>
          <w:bCs/>
          <w:lang w:val="el-GR"/>
        </w:rPr>
        <w:t>κών ΟΒΑΑ αναμένεται να βελτιώσουν</w:t>
      </w:r>
      <w:r w:rsidRPr="00073C5E">
        <w:rPr>
          <w:bCs/>
          <w:lang w:val="el-GR"/>
        </w:rPr>
        <w:t xml:space="preserve"> σημαντικά το δομημένο και επιχειρηματικό περιβάλλον,  τις συνθήκες διαβίωσης και γενικότερα την ποιότητα ζωής του πληθυσμού των υποβαθμισμένων αυτών περιοχών.</w:t>
      </w:r>
    </w:p>
    <w:p w14:paraId="044CFE2F" w14:textId="3F2F6680" w:rsidR="001A7C69" w:rsidRPr="00C77FEA" w:rsidRDefault="001A7C69" w:rsidP="001A7C69">
      <w:pPr>
        <w:jc w:val="both"/>
        <w:rPr>
          <w:lang w:val="el-GR"/>
        </w:rPr>
      </w:pPr>
      <w:r w:rsidRPr="00E47CDE">
        <w:rPr>
          <w:b/>
          <w:lang w:val="el-GR"/>
        </w:rPr>
        <w:t>Συμπληρωματικά με το ΕΤΠΑ</w:t>
      </w:r>
      <w:r w:rsidRPr="00C77FEA">
        <w:rPr>
          <w:lang w:val="el-GR"/>
        </w:rPr>
        <w:t xml:space="preserve">, οι προκλήσεις αυτές </w:t>
      </w:r>
      <w:r w:rsidRPr="00E47CDE">
        <w:rPr>
          <w:b/>
          <w:lang w:val="el-GR"/>
        </w:rPr>
        <w:t>αντιμετωπίζονται και από το ΕΚΤ</w:t>
      </w:r>
      <w:r w:rsidRPr="00C77FEA">
        <w:rPr>
          <w:lang w:val="el-GR"/>
        </w:rPr>
        <w:t xml:space="preserve">, μέσω του </w:t>
      </w:r>
      <w:r w:rsidR="003A1D34">
        <w:rPr>
          <w:lang w:val="el-GR"/>
        </w:rPr>
        <w:t xml:space="preserve">Άξονα </w:t>
      </w:r>
      <w:r w:rsidRPr="00C77FEA">
        <w:rPr>
          <w:lang w:val="el-GR"/>
        </w:rPr>
        <w:t>3 του ΕΠ «Απασχόληση, Ανθρώπινοι Πόροι και Κοινωνική Συνοχή», ο οποίος συνδυάζει ολοκληρωμένες παρεμβάσεις για την ενεργό ένταξη ανέργων ατόμων ευπαθών κοινωνικά ομάδων</w:t>
      </w:r>
      <w:r w:rsidR="003A1D34">
        <w:rPr>
          <w:lang w:val="el-GR"/>
        </w:rPr>
        <w:t>,</w:t>
      </w:r>
      <w:r w:rsidRPr="00C77FEA">
        <w:rPr>
          <w:lang w:val="el-GR"/>
        </w:rPr>
        <w:t xml:space="preserve"> που αντιμετωπίζουν αυξημένο κίνδυνο κοινωνικού αποκλεισμού και φτώχειας. </w:t>
      </w:r>
    </w:p>
    <w:p w14:paraId="18C0006E" w14:textId="77777777" w:rsidR="001A7C69" w:rsidRDefault="001A7C69" w:rsidP="001A7C69">
      <w:pPr>
        <w:jc w:val="both"/>
      </w:pPr>
      <w:r>
        <w:t>Ειδικότερα:</w:t>
      </w:r>
    </w:p>
    <w:p w14:paraId="18DD4E03" w14:textId="77777777" w:rsidR="001A7C69" w:rsidRPr="00C77FEA" w:rsidRDefault="001A7C69" w:rsidP="001D583B">
      <w:pPr>
        <w:numPr>
          <w:ilvl w:val="0"/>
          <w:numId w:val="23"/>
        </w:numPr>
        <w:jc w:val="both"/>
        <w:rPr>
          <w:color w:val="000000"/>
          <w:lang w:val="el-GR"/>
        </w:rPr>
      </w:pPr>
      <w:r w:rsidRPr="00C77FEA">
        <w:rPr>
          <w:color w:val="000000"/>
          <w:lang w:val="el-GR"/>
        </w:rPr>
        <w:lastRenderedPageBreak/>
        <w:t xml:space="preserve">Τον Οκτώβριο 2016 </w:t>
      </w:r>
      <w:r w:rsidRPr="004E4655">
        <w:rPr>
          <w:lang w:val="el-GR"/>
        </w:rPr>
        <w:t>προκηρύχθηκαν</w:t>
      </w:r>
      <w:r w:rsidRPr="00C77FEA">
        <w:rPr>
          <w:color w:val="000000"/>
          <w:lang w:val="el-GR"/>
        </w:rPr>
        <w:t xml:space="preserve"> </w:t>
      </w:r>
      <w:r w:rsidRPr="008C2AD1">
        <w:rPr>
          <w:bCs/>
          <w:color w:val="000000"/>
          <w:lang w:val="el-GR"/>
        </w:rPr>
        <w:t>τρία Σχέδια Χορηγιών</w:t>
      </w:r>
      <w:r w:rsidRPr="00C77FEA">
        <w:rPr>
          <w:color w:val="000000"/>
          <w:lang w:val="el-GR"/>
        </w:rPr>
        <w:t xml:space="preserve"> υπό τη μορφή παροχής κινήτρων προς τις επιχειρήσεις για την πρόσληψη ατόμων που ανήκουν σε ευπαθείς ομάδες πληθυσμού (άτομα με αναπηρία, άτομα με χρόνιες παθήσεις, άτομα ηλικίας πέραν των 50 ετών) συνολικού π/υ €7,2 εκατ. Μέχρι το τέλος του 2016 είχαν υποβληθεί συνολικά 441 αιτήσεις. Σημειώνεται ότι, για την εξάντληση του διαθέσιμου προϋπολογισμού των Σχεδίων δόθηκε παράταση υποβολής αιτήσεων μέχρι 31/03/2017 για τα Σχέδια που αφορούν τα άτομα με χρόνιες παθήσεις και τα άτομα με αναπηρία, ενώ για το Σχέδιο που αφορά τα</w:t>
      </w:r>
      <w:r>
        <w:rPr>
          <w:color w:val="000000"/>
        </w:rPr>
        <w:t> </w:t>
      </w:r>
      <w:r w:rsidRPr="00C77FEA">
        <w:rPr>
          <w:color w:val="000000"/>
          <w:lang w:val="el-GR"/>
        </w:rPr>
        <w:t xml:space="preserve"> άτομα πέραν των 50 ετών εκδόθηκε νέα πρόκληση τον Απρίλιο 2017. </w:t>
      </w:r>
    </w:p>
    <w:p w14:paraId="7D067897" w14:textId="77777777" w:rsidR="001A7C69" w:rsidRPr="00C77FEA" w:rsidRDefault="001A7C69" w:rsidP="001D583B">
      <w:pPr>
        <w:numPr>
          <w:ilvl w:val="0"/>
          <w:numId w:val="23"/>
        </w:numPr>
        <w:jc w:val="both"/>
        <w:rPr>
          <w:color w:val="000000"/>
          <w:lang w:val="el-GR"/>
        </w:rPr>
      </w:pPr>
      <w:r w:rsidRPr="00C77FEA">
        <w:rPr>
          <w:color w:val="000000"/>
          <w:lang w:val="el-GR"/>
        </w:rPr>
        <w:t xml:space="preserve">Επίσης, ξεκίνησε η </w:t>
      </w:r>
      <w:r w:rsidRPr="004E4655">
        <w:rPr>
          <w:lang w:val="el-GR"/>
        </w:rPr>
        <w:t>υλοποίηση</w:t>
      </w:r>
      <w:r w:rsidRPr="00C77FEA">
        <w:rPr>
          <w:color w:val="000000"/>
          <w:lang w:val="el-GR"/>
        </w:rPr>
        <w:t xml:space="preserve"> του έργου </w:t>
      </w:r>
      <w:r w:rsidRPr="008C2AD1">
        <w:rPr>
          <w:bCs/>
          <w:color w:val="000000"/>
          <w:lang w:val="el-GR"/>
        </w:rPr>
        <w:t>«Δράσεις Σχολικής και Κοινωνικής Ένταξης – ΔΡΑΣΕ»</w:t>
      </w:r>
      <w:r w:rsidRPr="008C2AD1">
        <w:rPr>
          <w:color w:val="000000"/>
          <w:lang w:val="el-GR"/>
        </w:rPr>
        <w:t>,</w:t>
      </w:r>
      <w:r w:rsidRPr="00C77FEA">
        <w:rPr>
          <w:color w:val="000000"/>
          <w:lang w:val="el-GR"/>
        </w:rPr>
        <w:t xml:space="preserve"> το οποίο στοχεύει στην αντιμετώπιση των αρνητικών συνεπειών της οικονομικής κρίσης στην εκπαίδευση και κατ’ επέκταση στους ευάλωτους μαθητές. Ειδικότερα, άρχισαν να υλοποιούνται δράσεις που αφορούν στη διδασκαλία των προγραμμάτων δημιουργικής απασχόλησης και ενισχυτικής διδασκαλίας, στην ενισχυτική διδασκαλία</w:t>
      </w:r>
      <w:r>
        <w:rPr>
          <w:color w:val="000000"/>
        </w:rPr>
        <w:t> </w:t>
      </w:r>
      <w:r w:rsidRPr="00C77FEA">
        <w:rPr>
          <w:color w:val="000000"/>
          <w:lang w:val="el-GR"/>
        </w:rPr>
        <w:t xml:space="preserve"> και δημιουργική απασχόληση, ενώ σύντομα αναμένεται να αρχίσει η λειτουργία των</w:t>
      </w:r>
      <w:r>
        <w:rPr>
          <w:color w:val="000000"/>
        </w:rPr>
        <w:t> </w:t>
      </w:r>
      <w:r w:rsidRPr="00C77FEA">
        <w:rPr>
          <w:color w:val="000000"/>
          <w:lang w:val="el-GR"/>
        </w:rPr>
        <w:t xml:space="preserve"> Κέντρων Πληροφόρησης και Ψυχοκοινωνικής Στήριξης.</w:t>
      </w:r>
    </w:p>
    <w:p w14:paraId="7C4D3F33" w14:textId="77777777" w:rsidR="001A7C69" w:rsidRDefault="001A7C69" w:rsidP="001D583B">
      <w:pPr>
        <w:numPr>
          <w:ilvl w:val="0"/>
          <w:numId w:val="23"/>
        </w:numPr>
        <w:jc w:val="both"/>
        <w:rPr>
          <w:color w:val="000000"/>
        </w:rPr>
      </w:pPr>
      <w:r w:rsidRPr="004E4655">
        <w:rPr>
          <w:lang w:val="el-GR"/>
        </w:rPr>
        <w:t>Πρόσθετα</w:t>
      </w:r>
      <w:r w:rsidRPr="00C77FEA">
        <w:rPr>
          <w:color w:val="000000"/>
          <w:lang w:val="el-GR"/>
        </w:rPr>
        <w:t xml:space="preserve"> ξεκίνησε η υλοποίηση του έργου </w:t>
      </w:r>
      <w:r w:rsidRPr="008C2AD1">
        <w:rPr>
          <w:bCs/>
          <w:color w:val="000000"/>
          <w:lang w:val="el-GR"/>
        </w:rPr>
        <w:t>«Επέκταση της Εφαρμογής του Νέου Συστήματος Αξιολόγησης της Αναπηρίας»</w:t>
      </w:r>
      <w:r w:rsidR="008C2AD1">
        <w:rPr>
          <w:bCs/>
          <w:color w:val="000000"/>
          <w:lang w:val="el-GR"/>
        </w:rPr>
        <w:t>,</w:t>
      </w:r>
      <w:r w:rsidRPr="008C2AD1">
        <w:rPr>
          <w:color w:val="000000"/>
          <w:lang w:val="el-GR"/>
        </w:rPr>
        <w:t xml:space="preserve"> </w:t>
      </w:r>
      <w:r w:rsidRPr="00C77FEA">
        <w:rPr>
          <w:color w:val="000000"/>
          <w:lang w:val="el-GR"/>
        </w:rPr>
        <w:t>στο πλαίσιο του οποίου θα λειτουργήσουν 3 Κέντρα αξιολόγησης, τα οποία θα εξυπηρετούν τις ανάγκες των ΑμεΑ σε Παγκύπρια Βάση.</w:t>
      </w:r>
      <w:r>
        <w:rPr>
          <w:color w:val="000000"/>
        </w:rPr>
        <w:t> </w:t>
      </w:r>
      <w:r w:rsidRPr="00C77FEA">
        <w:rPr>
          <w:color w:val="000000"/>
          <w:lang w:val="el-GR"/>
        </w:rPr>
        <w:t xml:space="preserve"> Κατά το 2016 ολοκληρώθηκαν οι διαδικασίες για την αγορά υπηρεσιών από Ιατρούς, Επαγγελματίες Υγείας και Αποκατάστασης και Ψυχολόγους που θα προσφέρουν τις υπηρεσίες τους ως αξιολογητές. Επίσης, εξασφαλίστηκαν χώροι στέγασης και ο απαραίτητος εξοπλισμός των Κέντρων Αξιολόγησης στη Λεμεσό και Λευκωσία και</w:t>
      </w:r>
      <w:r>
        <w:rPr>
          <w:color w:val="000000"/>
        </w:rPr>
        <w:t> </w:t>
      </w:r>
      <w:r w:rsidRPr="00C77FEA">
        <w:rPr>
          <w:color w:val="000000"/>
          <w:lang w:val="el-GR"/>
        </w:rPr>
        <w:t xml:space="preserve"> πραγματοποιήθηκε προσομοίωση της λειτουργίας τους. </w:t>
      </w:r>
      <w:r>
        <w:rPr>
          <w:color w:val="000000"/>
        </w:rPr>
        <w:t>Συνολικά, μέχρι το τέλος του 2016 είχαν πραγματοποιηθεί 3.918 αξιολογήσεις.</w:t>
      </w:r>
    </w:p>
    <w:p w14:paraId="3A7E7B98" w14:textId="77777777" w:rsidR="001A7C69" w:rsidRPr="004E4655" w:rsidRDefault="001A7C69" w:rsidP="001D583B">
      <w:pPr>
        <w:numPr>
          <w:ilvl w:val="0"/>
          <w:numId w:val="23"/>
        </w:numPr>
        <w:jc w:val="both"/>
        <w:rPr>
          <w:color w:val="000000"/>
          <w:lang w:val="el-GR"/>
        </w:rPr>
      </w:pPr>
      <w:r w:rsidRPr="004E4655">
        <w:rPr>
          <w:lang w:val="el-GR"/>
        </w:rPr>
        <w:t>Εκπονήθηκε</w:t>
      </w:r>
      <w:r w:rsidRPr="004E4655">
        <w:rPr>
          <w:color w:val="000000"/>
          <w:lang w:val="el-GR"/>
        </w:rPr>
        <w:t xml:space="preserve"> μελέτη για τον καθορισμό του πλαισίου εφαρμογής της </w:t>
      </w:r>
      <w:r w:rsidRPr="004E4655">
        <w:rPr>
          <w:b/>
          <w:bCs/>
          <w:color w:val="000000"/>
          <w:lang w:val="el-GR"/>
        </w:rPr>
        <w:t>κοινωνικής οικονομίας</w:t>
      </w:r>
      <w:r w:rsidRPr="004E4655">
        <w:rPr>
          <w:color w:val="000000"/>
          <w:lang w:val="el-GR"/>
        </w:rPr>
        <w:t xml:space="preserve"> στην Κύπρο.</w:t>
      </w:r>
    </w:p>
    <w:p w14:paraId="215837A2" w14:textId="77777777" w:rsidR="001A7C69" w:rsidRPr="00C77FEA" w:rsidRDefault="001A7C69" w:rsidP="001A7C69">
      <w:pPr>
        <w:jc w:val="both"/>
        <w:rPr>
          <w:lang w:val="el-GR"/>
        </w:rPr>
      </w:pPr>
      <w:r w:rsidRPr="00C77FEA">
        <w:rPr>
          <w:lang w:val="el-GR"/>
        </w:rPr>
        <w:t>Η αξιολόγηση των επιπτώσεων του ΕΠ «Απασχόληση, Ανθρώπινοι Πόροι και Κοινωνική Συνοχή» στην προώθηση της κοινωνικής ένταξης και της καταπολέμησης της φτώχειας</w:t>
      </w:r>
      <w:r>
        <w:t> </w:t>
      </w:r>
      <w:r w:rsidRPr="00C77FEA">
        <w:rPr>
          <w:lang w:val="el-GR"/>
        </w:rPr>
        <w:t xml:space="preserve"> και του κοινωνικού αποκλεισμού, αποτελεί αντικείμενο θεματικής αξιολόγησης που θα διενεργηθεί το 2020.</w:t>
      </w:r>
    </w:p>
    <w:p w14:paraId="505B0B48" w14:textId="77777777" w:rsidR="00620375" w:rsidRDefault="00620375" w:rsidP="00C804CF">
      <w:pPr>
        <w:spacing w:after="0"/>
        <w:rPr>
          <w:lang w:val="el-GR"/>
        </w:rPr>
      </w:pPr>
    </w:p>
    <w:p w14:paraId="78A161CA" w14:textId="77777777" w:rsidR="008931C8" w:rsidRPr="008C2AD1" w:rsidRDefault="008931C8" w:rsidP="00A43B22">
      <w:pPr>
        <w:jc w:val="both"/>
        <w:rPr>
          <w:b/>
          <w:i/>
          <w:lang w:val="el-GR"/>
        </w:rPr>
      </w:pPr>
      <w:r w:rsidRPr="008C2AD1">
        <w:rPr>
          <w:b/>
          <w:i/>
          <w:lang w:val="el-GR"/>
        </w:rPr>
        <w:t>στ) Σχετικά με το άρθρο 15 παράγραφος 2 στοιχείο α) σημείο iv) του κανονισμού (ΕΕ) αριθ. 1303/2013, κατά περίπτωση, επισκόπηση της εφαρμογής της προσέγγισης για την αντιμετώπιση των δημογραφικών προκλήσεων των περιοχών που πλήττονται από σοβαρά και μόνιμα φυσικά ή δημογραφικά προβλήματα.</w:t>
      </w:r>
    </w:p>
    <w:p w14:paraId="623171A6" w14:textId="1DC640C9" w:rsidR="008931C8" w:rsidRDefault="0048435F" w:rsidP="0048435F">
      <w:pPr>
        <w:jc w:val="both"/>
        <w:rPr>
          <w:lang w:val="el-GR"/>
        </w:rPr>
      </w:pPr>
      <w:r w:rsidRPr="0048435F">
        <w:rPr>
          <w:lang w:val="el-GR"/>
        </w:rPr>
        <w:t xml:space="preserve">Ως περιοχές με σοβαρά φυσικά και δημογραφικά μειονεκτήματα για τα μεγέθη της Κύπρου, </w:t>
      </w:r>
      <w:r>
        <w:rPr>
          <w:lang w:val="el-GR"/>
        </w:rPr>
        <w:t>σύμφωνα με τη ΣΕΣ</w:t>
      </w:r>
      <w:r w:rsidR="008C2AD1">
        <w:rPr>
          <w:lang w:val="el-GR"/>
        </w:rPr>
        <w:t>,</w:t>
      </w:r>
      <w:r>
        <w:rPr>
          <w:lang w:val="el-GR"/>
        </w:rPr>
        <w:t xml:space="preserve"> έχουν προσδιορισθεί </w:t>
      </w:r>
      <w:r w:rsidRPr="0048435F">
        <w:rPr>
          <w:lang w:val="el-GR"/>
        </w:rPr>
        <w:t>οι περιοχές της υπαίθρου και συγκεκριμένα οι ορεινές περιοχές, οι οποίες παρουσιάζουν συγκριτικά τη χαμηλότερη δημογραφική σύνθεση καθώς και τα σοβαρότερα προβλήματα αναπτυξιακής υστέρησης.</w:t>
      </w:r>
    </w:p>
    <w:p w14:paraId="1DE1E378" w14:textId="4CE5B999" w:rsidR="0048435F" w:rsidRPr="00E44ABA" w:rsidRDefault="0048435F" w:rsidP="0048435F">
      <w:pPr>
        <w:spacing w:after="120"/>
        <w:jc w:val="both"/>
        <w:rPr>
          <w:color w:val="000000"/>
          <w:lang w:val="el-GR"/>
        </w:rPr>
      </w:pPr>
      <w:r w:rsidRPr="00E44ABA">
        <w:rPr>
          <w:color w:val="000000"/>
          <w:lang w:val="el-GR"/>
        </w:rPr>
        <w:t xml:space="preserve">Το ΠΑΑ έχει αφιερωμένο </w:t>
      </w:r>
      <w:r>
        <w:rPr>
          <w:color w:val="000000"/>
          <w:lang w:val="el-GR"/>
        </w:rPr>
        <w:t xml:space="preserve">ειδικό </w:t>
      </w:r>
      <w:r w:rsidRPr="00E44ABA">
        <w:rPr>
          <w:color w:val="000000"/>
          <w:lang w:val="el-GR"/>
        </w:rPr>
        <w:t>Μέτρο για τις περιοχές με φυσικά ή άλλα μειονεκτήματα. Πρόκειται για το Μέτρο 13 "Πληρωμές σε Περιοχές με Φυσικά ή άλλα Μειονεκτήματα"</w:t>
      </w:r>
      <w:r w:rsidR="008C2AD1">
        <w:rPr>
          <w:color w:val="000000"/>
          <w:lang w:val="el-GR"/>
        </w:rPr>
        <w:t>,</w:t>
      </w:r>
      <w:r w:rsidRPr="00E44ABA">
        <w:rPr>
          <w:color w:val="000000"/>
          <w:lang w:val="el-GR"/>
        </w:rPr>
        <w:t xml:space="preserve"> που εφαρμόζεται σε πολυετή βάση. Με το Μέτρο </w:t>
      </w:r>
      <w:r w:rsidR="008C2AD1">
        <w:rPr>
          <w:color w:val="000000"/>
          <w:lang w:val="el-GR"/>
        </w:rPr>
        <w:t xml:space="preserve">αυτό </w:t>
      </w:r>
      <w:r w:rsidRPr="00E44ABA">
        <w:rPr>
          <w:color w:val="000000"/>
          <w:lang w:val="el-GR"/>
        </w:rPr>
        <w:t xml:space="preserve">εφαρμόζεται καθεστώς ενίσχυσης των γεωργικών εκμεταλλεύσεων σε </w:t>
      </w:r>
      <w:r w:rsidRPr="00E44ABA">
        <w:rPr>
          <w:color w:val="000000"/>
          <w:lang w:val="el-GR"/>
        </w:rPr>
        <w:lastRenderedPageBreak/>
        <w:t xml:space="preserve">μειονεκτικές περιοχές (ορεινές περιοχές, περιοχές με φυσικά μειονεκτήματα και περιοχές με ειδικά μειονεκτήματα), για αντιστάθμιση μέρους των οικονομικών απωλειών που προκύπτουν κατά την άσκηση της γεωργικής δραστηριότητας στις περιοχές αυτές. Προκηρύχθηκε το 2016 με προϋπολογισμό </w:t>
      </w:r>
      <w:r w:rsidR="008C2AD1">
        <w:rPr>
          <w:color w:val="000000"/>
          <w:lang w:val="el-GR"/>
        </w:rPr>
        <w:t>€</w:t>
      </w:r>
      <w:r w:rsidRPr="00E44ABA">
        <w:rPr>
          <w:color w:val="000000"/>
          <w:lang w:val="el-GR"/>
        </w:rPr>
        <w:t>38</w:t>
      </w:r>
      <w:r w:rsidR="008C2AD1">
        <w:rPr>
          <w:color w:val="000000"/>
          <w:lang w:val="el-GR"/>
        </w:rPr>
        <w:t xml:space="preserve"> εκ</w:t>
      </w:r>
      <w:r w:rsidRPr="00E44ABA">
        <w:rPr>
          <w:color w:val="000000"/>
          <w:lang w:val="el-GR"/>
        </w:rPr>
        <w:t xml:space="preserve">. μαζί με την ενιαία αίτηση εκταρικών επιδοτήσεων και παραλήφθηκαν 24.297 αιτήσεις. Εντός του έτους πραγματοποιήθηκαν πληρωμές τόσο για αιτήσεις που υποβλήθηκαν το 2015, όσο και το 2016 και ήταν ύψους </w:t>
      </w:r>
      <w:r w:rsidR="0060452E">
        <w:rPr>
          <w:color w:val="000000"/>
          <w:lang w:val="el-GR"/>
        </w:rPr>
        <w:t>€</w:t>
      </w:r>
      <w:r w:rsidRPr="00E44ABA">
        <w:rPr>
          <w:color w:val="000000"/>
          <w:lang w:val="el-GR"/>
        </w:rPr>
        <w:t>14,7 εκ.</w:t>
      </w:r>
    </w:p>
    <w:p w14:paraId="7DE0373A" w14:textId="116E5A8B" w:rsidR="001A7C69" w:rsidRPr="00E44ABA" w:rsidRDefault="0048435F" w:rsidP="0048435F">
      <w:pPr>
        <w:jc w:val="both"/>
        <w:rPr>
          <w:lang w:val="el-GR"/>
        </w:rPr>
      </w:pPr>
      <w:r>
        <w:rPr>
          <w:lang w:val="el-GR"/>
        </w:rPr>
        <w:t xml:space="preserve">Συμπληρωματικά προς την κατεύθυνση της αντιμετώπισης των δημογραφικών προβλημάτων των περιοχών της υπαίθρου λειτουργούν και οι παρεμβάσεις του </w:t>
      </w:r>
      <w:r w:rsidR="001A7C69" w:rsidRPr="00E44ABA">
        <w:rPr>
          <w:lang w:val="el-GR"/>
        </w:rPr>
        <w:t>Μέτρο</w:t>
      </w:r>
      <w:r>
        <w:rPr>
          <w:lang w:val="el-GR"/>
        </w:rPr>
        <w:t>υ</w:t>
      </w:r>
      <w:r w:rsidR="001A7C69" w:rsidRPr="00E44ABA">
        <w:rPr>
          <w:lang w:val="el-GR"/>
        </w:rPr>
        <w:t xml:space="preserve"> 6 «Ενίσχυση πρώτης εγκατάστασης νέων γεωργών» </w:t>
      </w:r>
      <w:r w:rsidR="001A7C69" w:rsidRPr="00E44ABA">
        <w:rPr>
          <w:b/>
          <w:lang w:val="el-GR"/>
        </w:rPr>
        <w:t>του ΠΑΑ</w:t>
      </w:r>
      <w:r>
        <w:rPr>
          <w:b/>
          <w:lang w:val="el-GR"/>
        </w:rPr>
        <w:t xml:space="preserve">, </w:t>
      </w:r>
      <w:r w:rsidRPr="0048435F">
        <w:rPr>
          <w:lang w:val="el-GR"/>
        </w:rPr>
        <w:t>που</w:t>
      </w:r>
      <w:r w:rsidR="001A7C69" w:rsidRPr="00E44ABA">
        <w:rPr>
          <w:lang w:val="el-GR"/>
        </w:rPr>
        <w:t xml:space="preserve"> παρέχει οικονομική στήριξη για την πρώτη εγκατάσταση νέων, άνω των 18 και κάτω των 40 ετών, στον τομέα της γεωργίας. Στόχος είναι η ενθάρρυνση νέων να δραστηριοποιηθούν στον τομέα της γεωργίας και κατά συνέπεια στην ύπαιθρο. Στο πλαίσιο της πρώτης προκήρυξης, συνολικού Π/Υ </w:t>
      </w:r>
      <w:r w:rsidR="0060452E">
        <w:rPr>
          <w:lang w:val="el-GR"/>
        </w:rPr>
        <w:t>€</w:t>
      </w:r>
      <w:r w:rsidR="001A7C69" w:rsidRPr="00E44ABA">
        <w:rPr>
          <w:lang w:val="el-GR"/>
        </w:rPr>
        <w:t>3</w:t>
      </w:r>
      <w:r w:rsidR="0060452E">
        <w:rPr>
          <w:lang w:val="el-GR"/>
        </w:rPr>
        <w:t>,</w:t>
      </w:r>
      <w:r w:rsidR="001A7C69" w:rsidRPr="00E44ABA">
        <w:rPr>
          <w:lang w:val="el-GR"/>
        </w:rPr>
        <w:t>5</w:t>
      </w:r>
      <w:r w:rsidR="0060452E">
        <w:rPr>
          <w:lang w:val="el-GR"/>
        </w:rPr>
        <w:t xml:space="preserve"> εκ.</w:t>
      </w:r>
      <w:r w:rsidR="001A7C69" w:rsidRPr="00E44ABA">
        <w:rPr>
          <w:lang w:val="el-GR"/>
        </w:rPr>
        <w:t xml:space="preserve"> (50% των διαθέσιμων πόρων του Μέτρου), υποβλήθηκαν 270 αιτήσεις (αιτηθέν ποσό </w:t>
      </w:r>
      <w:r w:rsidR="0060452E">
        <w:rPr>
          <w:lang w:val="el-GR"/>
        </w:rPr>
        <w:t>€</w:t>
      </w:r>
      <w:r w:rsidR="001A7C69" w:rsidRPr="00E44ABA">
        <w:rPr>
          <w:lang w:val="el-GR"/>
        </w:rPr>
        <w:t>5</w:t>
      </w:r>
      <w:r w:rsidR="0060452E">
        <w:rPr>
          <w:lang w:val="el-GR"/>
        </w:rPr>
        <w:t>,</w:t>
      </w:r>
      <w:r w:rsidR="001A7C69" w:rsidRPr="00E44ABA">
        <w:rPr>
          <w:lang w:val="el-GR"/>
        </w:rPr>
        <w:t>4</w:t>
      </w:r>
      <w:r w:rsidR="0060452E">
        <w:rPr>
          <w:lang w:val="el-GR"/>
        </w:rPr>
        <w:t xml:space="preserve"> εκ.</w:t>
      </w:r>
      <w:r w:rsidR="001A7C69" w:rsidRPr="00E44ABA">
        <w:rPr>
          <w:lang w:val="el-GR"/>
        </w:rPr>
        <w:t>), των οποίων η διαδικασία αξιολόγησης των αιτήσεων είναι σε εξέλιξη. Το σύνολο σχεδόν των νέων που εκδήλωσαν ενδιαφέρον υπέβαλε αίτηση και στο Καθεστώς 4.1 του Π</w:t>
      </w:r>
      <w:r w:rsidR="0060452E">
        <w:rPr>
          <w:lang w:val="el-GR"/>
        </w:rPr>
        <w:t>ΑΑ,</w:t>
      </w:r>
      <w:r w:rsidR="001A7C69" w:rsidRPr="00E44ABA">
        <w:rPr>
          <w:lang w:val="el-GR"/>
        </w:rPr>
        <w:t xml:space="preserve"> που αφορά τις επενδύσεις στις γεωργικές εκμεταλλεύσεις. Στο Μέτρο </w:t>
      </w:r>
      <w:r w:rsidR="0060452E">
        <w:rPr>
          <w:lang w:val="el-GR"/>
        </w:rPr>
        <w:t xml:space="preserve">αυτό </w:t>
      </w:r>
      <w:r w:rsidR="001A7C69" w:rsidRPr="00E44ABA">
        <w:rPr>
          <w:lang w:val="el-GR"/>
        </w:rPr>
        <w:t>έχουν μεταφερθεί και δεσμεύσεις που είχαν αναληφθεί στο πλαίσιο της δεύτερης προκήρυξης του αντίστοιχου Μέτρου του ΠΑΑ 2007-2013. Ειδικότερα, το 2016 ολοκληρώθηκαν 14 εγκεκριμένα στο ΠΑΑ 2007-2013 Σχέδια νέων γεωργών (11 ανδρών και</w:t>
      </w:r>
      <w:r w:rsidR="001A7C69">
        <w:t> </w:t>
      </w:r>
      <w:r w:rsidR="001A7C69" w:rsidRPr="00E44ABA">
        <w:rPr>
          <w:lang w:val="el-GR"/>
        </w:rPr>
        <w:t xml:space="preserve"> 3 γυναικών), με πραγματοποιηθείσες δαπάνες ύψους </w:t>
      </w:r>
      <w:r w:rsidR="0060452E">
        <w:rPr>
          <w:lang w:val="el-GR"/>
        </w:rPr>
        <w:t>€</w:t>
      </w:r>
      <w:r w:rsidR="001A7C69" w:rsidRPr="00E44ABA">
        <w:rPr>
          <w:lang w:val="el-GR"/>
        </w:rPr>
        <w:t>195.000.</w:t>
      </w:r>
    </w:p>
    <w:p w14:paraId="1DB39499" w14:textId="0DF7E828" w:rsidR="001A7C69" w:rsidRPr="00E44ABA" w:rsidRDefault="001A7C69" w:rsidP="001A7C69">
      <w:pPr>
        <w:spacing w:after="120"/>
        <w:jc w:val="both"/>
        <w:rPr>
          <w:lang w:val="el-GR"/>
        </w:rPr>
      </w:pPr>
      <w:r>
        <w:rPr>
          <w:lang w:val="el-GR"/>
        </w:rPr>
        <w:t>Τα ανωτέρω</w:t>
      </w:r>
      <w:r w:rsidRPr="00E44ABA">
        <w:rPr>
          <w:lang w:val="el-GR"/>
        </w:rPr>
        <w:t xml:space="preserve"> Μέτρα </w:t>
      </w:r>
      <w:r w:rsidR="0060452E">
        <w:rPr>
          <w:lang w:val="el-GR"/>
        </w:rPr>
        <w:t>έχουν άμεση και σημαντική συμβολή</w:t>
      </w:r>
      <w:r w:rsidRPr="00E44ABA">
        <w:rPr>
          <w:lang w:val="el-GR"/>
        </w:rPr>
        <w:t xml:space="preserve"> στη διατήρηση του πληθυσμιακού ιστού σε απόκεντρες, ορεινές και μειονεκτικές περιοχές, που κατεξοχήν υφίστανται πληθυσμιακή αποψίλωση. Συμπληρωματικά συνεισφέρουν βεβαίως και άλλες παρεμβάσεις</w:t>
      </w:r>
      <w:r w:rsidR="0060452E">
        <w:rPr>
          <w:lang w:val="el-GR"/>
        </w:rPr>
        <w:t>,</w:t>
      </w:r>
      <w:r w:rsidRPr="00E44ABA">
        <w:rPr>
          <w:lang w:val="el-GR"/>
        </w:rPr>
        <w:t xml:space="preserve"> </w:t>
      </w:r>
      <w:r w:rsidR="0060452E">
        <w:rPr>
          <w:lang w:val="el-GR"/>
        </w:rPr>
        <w:t>όπως είναι</w:t>
      </w:r>
      <w:r w:rsidRPr="00E44ABA">
        <w:rPr>
          <w:lang w:val="el-GR"/>
        </w:rPr>
        <w:t xml:space="preserve"> τα επενδυτικά/επιχειρηματικά Μέτρα (Μ4.1, Μ4.2)</w:t>
      </w:r>
      <w:r w:rsidR="0060452E">
        <w:rPr>
          <w:lang w:val="el-GR"/>
        </w:rPr>
        <w:t>,</w:t>
      </w:r>
      <w:r w:rsidRPr="00E44ABA">
        <w:rPr>
          <w:lang w:val="el-GR"/>
        </w:rPr>
        <w:t xml:space="preserve"> διατηρώντας και ενισχύοντας την παραγωγική βάση, καθώς και τα Μέτρα που ενισχύουν τις βασικές υπηρεσίες και τον οικιστικό ιστό στις αγροτικές περιοχές (Μ7 και Μ19)</w:t>
      </w:r>
      <w:r w:rsidR="0060452E">
        <w:rPr>
          <w:lang w:val="el-GR"/>
        </w:rPr>
        <w:t>,</w:t>
      </w:r>
      <w:r w:rsidRPr="00E44ABA">
        <w:rPr>
          <w:lang w:val="el-GR"/>
        </w:rPr>
        <w:t xml:space="preserve"> προσφέροντας στον πληθυσμό ένα </w:t>
      </w:r>
      <w:r w:rsidR="0060452E">
        <w:rPr>
          <w:lang w:val="el-GR"/>
        </w:rPr>
        <w:t>ικανοποιητικό</w:t>
      </w:r>
      <w:r w:rsidRPr="00E44ABA">
        <w:rPr>
          <w:lang w:val="el-GR"/>
        </w:rPr>
        <w:t xml:space="preserve"> επίπεδο ζωής.</w:t>
      </w:r>
    </w:p>
    <w:p w14:paraId="0D58740C" w14:textId="77777777" w:rsidR="001A7C69" w:rsidRDefault="001A7C69" w:rsidP="00537901">
      <w:pPr>
        <w:rPr>
          <w:lang w:val="el-GR"/>
        </w:rPr>
      </w:pPr>
    </w:p>
    <w:p w14:paraId="1568A842" w14:textId="77777777" w:rsidR="001A7C69" w:rsidRDefault="001A7C69" w:rsidP="00537901">
      <w:pPr>
        <w:rPr>
          <w:lang w:val="el-GR"/>
        </w:rPr>
      </w:pPr>
      <w:r>
        <w:rPr>
          <w:lang w:val="el-GR"/>
        </w:rPr>
        <w:br w:type="page"/>
      </w:r>
    </w:p>
    <w:p w14:paraId="6B0BB2C8" w14:textId="77777777" w:rsidR="008931C8" w:rsidRPr="0040101F" w:rsidRDefault="003B6611" w:rsidP="001D583B">
      <w:pPr>
        <w:pStyle w:val="Heading1"/>
        <w:numPr>
          <w:ilvl w:val="0"/>
          <w:numId w:val="7"/>
        </w:numPr>
        <w:ind w:left="426"/>
        <w:rPr>
          <w:rFonts w:ascii="Calibri" w:hAnsi="Calibri"/>
          <w:lang w:val="el-GR"/>
        </w:rPr>
      </w:pPr>
      <w:bookmarkStart w:id="37" w:name="_Toc483572194"/>
      <w:r w:rsidRPr="003B6611">
        <w:rPr>
          <w:rFonts w:ascii="Calibri" w:hAnsi="Calibri"/>
          <w:caps/>
          <w:smallCaps w:val="0"/>
          <w:lang w:val="el-GR"/>
        </w:rPr>
        <w:lastRenderedPageBreak/>
        <w:t>Κατά περίπτωση, τα μέτρα που λήφθηκαν για την ενίσχυση της ικανότητας των αρχών του κράτους μέλους και των δικαιούχων να διαχειρίζονται και να χρησιμοποιούν τα ΕΔΕΤ</w:t>
      </w:r>
      <w:r w:rsidR="008931C8" w:rsidRPr="0040101F">
        <w:rPr>
          <w:rStyle w:val="FootnoteReference"/>
          <w:rFonts w:ascii="Calibri" w:hAnsi="Calibri"/>
          <w:bCs w:val="0"/>
          <w:caps/>
          <w:smallCaps w:val="0"/>
          <w:lang w:val="el-GR"/>
        </w:rPr>
        <w:footnoteReference w:id="16"/>
      </w:r>
      <w:bookmarkEnd w:id="37"/>
    </w:p>
    <w:p w14:paraId="55301ABE" w14:textId="77777777" w:rsidR="00DD5D46" w:rsidRDefault="00DD5D46" w:rsidP="00DD5D46">
      <w:pPr>
        <w:jc w:val="both"/>
        <w:rPr>
          <w:lang w:val="el-GR"/>
        </w:rPr>
      </w:pPr>
      <w:r w:rsidRPr="00DD5D46">
        <w:rPr>
          <w:lang w:val="el-GR"/>
        </w:rPr>
        <w:t>Έχοντας ως στόχο την εξασφάλιση της αποτελεσματικής διαχείρισης των Προγραμμάτων, κατά την Προγραμματική περίοδο 2014-2020 έχει δοθεί έμφαση στην ενίσχυση εκείνων των δομών που εμπλέκονται στη διαχείριση και τον έλεγχο παρεμβάσεων στις οποίες δεν υπάρχει εμπειρία σε σχέση με όσα υλοποιήθηκαν κατά την προηγούμενη Προγραμματική περίοδο. Παράλληλα, επιδιώκεται η διασφάλιση της διοικητικής ικανότητας που απαιτείται για την εφαρμογή των Ε.Π. και του ΠΑΑ, καθώς και η διαθεσιμότητα των ανθρώπινων πόρων τόσο των Φορέων Διαχείρισης όσο και των Φορέων Εφαρμογής, παρά τη μείωση του αριθμού των στελεχών του Δημόσιου Τομέα. Ανάλογα έχουν σχεδιαστεί και οι αναγκαίες αλλαγές στα Συστήματα Διαχείρισης και Ελέγχου, στο πλαίσιο του νέου κανονιστικού πλαισίου και περαιτέρω εξορθολογισμού τους για όλα τα ΕΔΕΤ.</w:t>
      </w:r>
    </w:p>
    <w:p w14:paraId="317ECD2E" w14:textId="77777777" w:rsidR="0025605D" w:rsidRPr="00C804CF" w:rsidRDefault="00DA3BC9" w:rsidP="00DD5D46">
      <w:pPr>
        <w:jc w:val="both"/>
        <w:rPr>
          <w:b/>
          <w:i/>
          <w:lang w:val="el-GR"/>
        </w:rPr>
      </w:pPr>
      <w:r w:rsidRPr="00C804CF">
        <w:rPr>
          <w:b/>
          <w:i/>
          <w:lang w:val="el-GR"/>
        </w:rPr>
        <w:t>Δομές:</w:t>
      </w:r>
    </w:p>
    <w:p w14:paraId="6892359A" w14:textId="77777777" w:rsidR="00B62A79" w:rsidRDefault="00B62A79" w:rsidP="00B62A79">
      <w:pPr>
        <w:jc w:val="both"/>
        <w:rPr>
          <w:lang w:val="el-GR"/>
        </w:rPr>
      </w:pPr>
      <w:r w:rsidRPr="00B62A79">
        <w:rPr>
          <w:lang w:val="el-GR"/>
        </w:rPr>
        <w:t xml:space="preserve">Η διαδικασία διορισμού των Αρχών Διαχείρισης και Ελέγχου </w:t>
      </w:r>
      <w:r>
        <w:rPr>
          <w:lang w:val="el-GR"/>
        </w:rPr>
        <w:t>των Ε.Π. του ΕΤΠΑ/ΤΣ</w:t>
      </w:r>
      <w:r w:rsidRPr="00B62A79">
        <w:rPr>
          <w:lang w:val="el-GR"/>
        </w:rPr>
        <w:t xml:space="preserve">, </w:t>
      </w:r>
      <w:r>
        <w:rPr>
          <w:lang w:val="el-GR"/>
        </w:rPr>
        <w:t xml:space="preserve">του ΕΚΤ και του ΕΤΘΑ </w:t>
      </w:r>
      <w:r w:rsidRPr="00B62A79">
        <w:rPr>
          <w:lang w:val="el-GR"/>
        </w:rPr>
        <w:t xml:space="preserve">η οποία αποτελούσε και προϋπόθεση για την αποστολή του πρώτου αιτήματος πληρωμής στην ΕΕ, ολοκληρώθηκε με την έκδοση σύμφωνης γνώμης από την Αρχή Ελέγχου στις 23/5/2016, και την ίδια ημερομηνία απεστάλη στην Ευρωπαϊκή Επιτροπή η σχετική απόφαση διορισμού των Αρχών. </w:t>
      </w:r>
    </w:p>
    <w:p w14:paraId="4C1F3142" w14:textId="77777777" w:rsidR="00B62A79" w:rsidRPr="00B62A79" w:rsidRDefault="00B62A79" w:rsidP="00B62A79">
      <w:pPr>
        <w:jc w:val="both"/>
        <w:rPr>
          <w:lang w:val="el-GR"/>
        </w:rPr>
      </w:pPr>
      <w:r w:rsidRPr="00B62A79">
        <w:rPr>
          <w:lang w:val="el-GR"/>
        </w:rPr>
        <w:t xml:space="preserve">Αναφορικά με το ΕΓΤΑΑ, έχει καθοριστεί ως Διαχειριστική Αρχή του Προγράμματος Αγροτικής Ανάπτυξης 2014‐2020, το Υπουργείο Γεωργίας, Φυσικών Πόρων και Περιβάλλοντος το οποίο θα εκτελεί τις αρμοδιότητες που προκύπτουν από το άρθρο 66 του Κανονισμού (ΕΚ) αριθ. 1305/2013. Οι αρμοδιότητες και τα καθήκοντα της Διαχειριστικής Αρχής </w:t>
      </w:r>
      <w:r>
        <w:rPr>
          <w:lang w:val="el-GR"/>
        </w:rPr>
        <w:t xml:space="preserve">καθορίσθηκαν με </w:t>
      </w:r>
      <w:r w:rsidRPr="00B62A79">
        <w:rPr>
          <w:lang w:val="el-GR"/>
        </w:rPr>
        <w:t xml:space="preserve">απόφαση του Υπουργικού Συμβουλίου. Ως διαπιστευμένος οργανισμός πληρωμών κατά την έννοια του άρθρου 7 του Κανονισμού (ΕΚ) αριθ. 1306/2013 </w:t>
      </w:r>
      <w:r>
        <w:rPr>
          <w:lang w:val="el-GR"/>
        </w:rPr>
        <w:t>έχει ορισθεί</w:t>
      </w:r>
      <w:r w:rsidRPr="00B62A79">
        <w:rPr>
          <w:lang w:val="el-GR"/>
        </w:rPr>
        <w:t xml:space="preserve"> ο Κυπριακός Οργανισμός Αγροτικών Πληρωμών (ΚΟΑΠ).</w:t>
      </w:r>
    </w:p>
    <w:p w14:paraId="63B1826C" w14:textId="77777777" w:rsidR="00A05016" w:rsidRPr="00A05016" w:rsidRDefault="00A05016" w:rsidP="00A05016">
      <w:pPr>
        <w:jc w:val="both"/>
        <w:rPr>
          <w:lang w:val="el-GR"/>
        </w:rPr>
      </w:pPr>
      <w:r w:rsidRPr="00A05016">
        <w:rPr>
          <w:lang w:val="el-GR"/>
        </w:rPr>
        <w:t>Όσον αφορά την ανάγκη απλούστευσης των συστημάτων διαχείρισης ελέγχου με την αφαίρεση πολλαπλών παράλληλων επιπέδων φορέων και ελέγχου προωθήθηκε η συγκέντρωση των διαδικασιών σε φορείς με την αντίστοιχη κατάρτιση, εμπειρία και στελέχωση. Έτσι, βάσει των προνοιών του Άρθρου 123, παρ. 6 του Καν. 1303/2013 και σύμφωνα με την Απόφαση του Υπουργικού Συμβουλίου με αρ. 79.735 ημερ. 17.11.2015, το Γενικό Λογιστήριο ορίστηκε ως Φορέας Επαληθεύσεων Δαπανών (ΦΕΔ) και έχει την αρμοδιότητα για τη διενέργεια διοικητικών επαληθεύσεων των δαπανών σε όλα τα έργα των ΕΠ «Ανταγωνιστικότητα και Αειφόρος Ανάπτυξη», «Απασχόληση, Ανθρώπινοι Πόροι και Κοινωνική Συνοχή» και «Θάλασσα». Σε σχέση με τις Τεχνικές Επαληθεύσεις, δεν έχει δημιουργηθεί Κεντρικός Φορέας  με αποτέλεσμα αυτές να πραγματοποιούνται από τους ΕΦ.</w:t>
      </w:r>
    </w:p>
    <w:p w14:paraId="2BE55415" w14:textId="77777777" w:rsidR="00A05016" w:rsidRPr="00C804CF" w:rsidRDefault="00A05016" w:rsidP="00B62A79">
      <w:pPr>
        <w:jc w:val="both"/>
        <w:rPr>
          <w:b/>
          <w:lang w:val="el-GR"/>
        </w:rPr>
      </w:pPr>
      <w:r w:rsidRPr="00C804CF">
        <w:rPr>
          <w:b/>
          <w:i/>
          <w:iCs/>
          <w:lang w:val="el-GR"/>
        </w:rPr>
        <w:t>Ανθρώπινο Δυναμικό:</w:t>
      </w:r>
    </w:p>
    <w:p w14:paraId="17D78438" w14:textId="77777777" w:rsidR="00A05016" w:rsidRDefault="00B62A79" w:rsidP="00B62A79">
      <w:pPr>
        <w:jc w:val="both"/>
        <w:rPr>
          <w:lang w:val="el-GR"/>
        </w:rPr>
      </w:pPr>
      <w:r w:rsidRPr="00DD5D46">
        <w:rPr>
          <w:lang w:val="el-GR"/>
        </w:rPr>
        <w:t>Η λήψη μέτρων για την βελτίωση της διοικητικής ικανότητας</w:t>
      </w:r>
      <w:r>
        <w:rPr>
          <w:lang w:val="el-GR"/>
        </w:rPr>
        <w:t xml:space="preserve">, </w:t>
      </w:r>
      <w:r w:rsidR="00A05016">
        <w:rPr>
          <w:lang w:val="el-GR"/>
        </w:rPr>
        <w:t xml:space="preserve">περιλαμβανομένης και της κατάλληλης στελέχωσης των εμπλεκομένων Φορέων Διαχείρισης και Εφαρμογής των παρεμβάσεων, </w:t>
      </w:r>
      <w:r>
        <w:rPr>
          <w:lang w:val="el-GR"/>
        </w:rPr>
        <w:t xml:space="preserve">με δεδομένη τη </w:t>
      </w:r>
      <w:r>
        <w:rPr>
          <w:lang w:val="el-GR"/>
        </w:rPr>
        <w:lastRenderedPageBreak/>
        <w:t>μη ενεργοποίηση σημαντικών πόρων της Τεχνικής Βοήθειας, υποστηρίχθηκε</w:t>
      </w:r>
      <w:r w:rsidRPr="00DD5D46">
        <w:rPr>
          <w:lang w:val="el-GR"/>
        </w:rPr>
        <w:t xml:space="preserve"> από την χρήση των </w:t>
      </w:r>
      <w:r>
        <w:rPr>
          <w:lang w:val="el-GR"/>
        </w:rPr>
        <w:t>εθνικών πόρων</w:t>
      </w:r>
      <w:r w:rsidRPr="00DD5D46">
        <w:rPr>
          <w:lang w:val="el-GR"/>
        </w:rPr>
        <w:t xml:space="preserve">.  </w:t>
      </w:r>
    </w:p>
    <w:p w14:paraId="41F822F9" w14:textId="77777777" w:rsidR="00BA49CF" w:rsidRDefault="00A05016" w:rsidP="00BA49CF">
      <w:pPr>
        <w:jc w:val="both"/>
        <w:rPr>
          <w:lang w:val="el-GR"/>
        </w:rPr>
      </w:pPr>
      <w:r>
        <w:rPr>
          <w:lang w:val="el-GR"/>
        </w:rPr>
        <w:t xml:space="preserve">Στο πλαίσιο αυτό ενισχύθηκε η στελέχωση των Φορέων Διαχείρισης και Υλοποίησης των Ε.Π. με τη διαδικασία των διοικητικών αλλαγών (μεταφορά/απόσπαση προσωπικού), </w:t>
      </w:r>
      <w:r w:rsidR="00BA49CF">
        <w:rPr>
          <w:lang w:val="el-GR"/>
        </w:rPr>
        <w:t>ενώ</w:t>
      </w:r>
      <w:r w:rsidR="00BA49CF" w:rsidRPr="00DD5D46">
        <w:rPr>
          <w:lang w:val="el-GR"/>
        </w:rPr>
        <w:t xml:space="preserve"> για τη διασφάλιση καλύτερης εφαρμογής του Προγράμματος και ενίσχυσης της διεξαγωγής των απαραίτητων ελέγχων επί των αιτήσεων, η τεχνική υποστήριξη κατά τη νέα Προγραμματική περίοδο διευρύνει τη χρήση εξωτερικών αξιολογητών σε έργα όπου απαιτείται ιδιαίτερη τεχνογνωσία. Αναφορικά με τα Προγράμματα χρηματοδότησης </w:t>
      </w:r>
      <w:r w:rsidR="00BA49CF">
        <w:rPr>
          <w:lang w:val="el-GR"/>
        </w:rPr>
        <w:t>έργων</w:t>
      </w:r>
      <w:r w:rsidR="00BA49CF" w:rsidRPr="00DD5D46">
        <w:rPr>
          <w:lang w:val="el-GR"/>
        </w:rPr>
        <w:t xml:space="preserve"> έρευνα</w:t>
      </w:r>
      <w:r w:rsidR="00BA49CF">
        <w:rPr>
          <w:lang w:val="el-GR"/>
        </w:rPr>
        <w:t>ς</w:t>
      </w:r>
      <w:r w:rsidR="00BA49CF" w:rsidRPr="00DD5D46">
        <w:rPr>
          <w:lang w:val="el-GR"/>
        </w:rPr>
        <w:t>, τεχνολογική</w:t>
      </w:r>
      <w:r w:rsidR="00BA49CF">
        <w:rPr>
          <w:lang w:val="el-GR"/>
        </w:rPr>
        <w:t>ς</w:t>
      </w:r>
      <w:r w:rsidR="00BA49CF" w:rsidRPr="00DD5D46">
        <w:rPr>
          <w:lang w:val="el-GR"/>
        </w:rPr>
        <w:t xml:space="preserve"> ανάπτυξη</w:t>
      </w:r>
      <w:r w:rsidR="00BA49CF">
        <w:rPr>
          <w:lang w:val="el-GR"/>
        </w:rPr>
        <w:t>ς</w:t>
      </w:r>
      <w:r w:rsidR="00BA49CF" w:rsidRPr="00DD5D46">
        <w:rPr>
          <w:lang w:val="el-GR"/>
        </w:rPr>
        <w:t xml:space="preserve"> και καινοτομία</w:t>
      </w:r>
      <w:r w:rsidR="00BA49CF">
        <w:rPr>
          <w:lang w:val="el-GR"/>
        </w:rPr>
        <w:t xml:space="preserve">ς του Ε.Π. </w:t>
      </w:r>
      <w:r w:rsidR="00BA49CF" w:rsidRPr="00BA49CF">
        <w:rPr>
          <w:bCs/>
          <w:lang w:val="el-GR"/>
        </w:rPr>
        <w:t>Ανταγωνιστικότητα και Αειφόρος Ανάπτυξη</w:t>
      </w:r>
      <w:r w:rsidR="00BA49CF" w:rsidRPr="00DD5D46">
        <w:rPr>
          <w:lang w:val="el-GR"/>
        </w:rPr>
        <w:t>, με εξαίρεση συγκεκριμένα Προγράμματα και μέτρα στήριξης μικρής κλίμακας όπου πραγματοποιείται εσωτερική αξιολόγηση Προτάσεων στη βάση της επιλεξιμότητάς τους, στην πλειοψηφία των Προγραμμάτων γίνεται ευρεία χρήση εξωτερικών εμπε</w:t>
      </w:r>
      <w:r w:rsidR="00117794">
        <w:rPr>
          <w:lang w:val="el-GR"/>
        </w:rPr>
        <w:t>ιρογνωμόνων για την αξιολόγηση π</w:t>
      </w:r>
      <w:r w:rsidR="00BA49CF" w:rsidRPr="00DD5D46">
        <w:rPr>
          <w:lang w:val="el-GR"/>
        </w:rPr>
        <w:t xml:space="preserve">ροτάσεων για χρηματοδότηση και επιστημονική αξιολόγηση της ποιότητας των αποτελεσμάτων των έργων κατά την ολοκλήρωσή τους. </w:t>
      </w:r>
      <w:r w:rsidR="00117794">
        <w:rPr>
          <w:lang w:val="el-GR"/>
        </w:rPr>
        <w:t>Αντίστοιχα τ</w:t>
      </w:r>
      <w:r w:rsidR="00117794" w:rsidRPr="00117794">
        <w:rPr>
          <w:lang w:val="el-GR"/>
        </w:rPr>
        <w:t>ο Τμήμα Εργασίας του Υπουργείου Εργασίας, Πρόνοιας και Κοινωνικών Ασφαλίσεων, σύμφωνα με τις πρόνοιες του Νόμου Ν. (70(Ι)/2016) για τη Ρύθμιση της απασχόλησης εργοδοτουμένων αορίστου και εργοδοτουμένων ορισμένου χρόνου στη Δημόσια Υπηρεσία, έχει λάβει έγκριση από τον Υπουργό Οικονομικών για την απασχόληση 30 ατόμων, στο πλαίσιο υλοποίησης έργου για ενίσχυση της Δημόσιας Υπηρεσίας Απασχόλησης</w:t>
      </w:r>
      <w:r w:rsidR="00F4640C">
        <w:rPr>
          <w:lang w:val="el-GR"/>
        </w:rPr>
        <w:t xml:space="preserve"> (α</w:t>
      </w:r>
      <w:r w:rsidR="00117794" w:rsidRPr="00117794">
        <w:rPr>
          <w:lang w:val="el-GR"/>
        </w:rPr>
        <w:t>ναμένεται ότι σύντομα μέσω δημοσίευσης στον τύπο, το Υπουργείο θα καλέσει τους ενδιαφερομένους να υποβάλουν σχετική αίτηση</w:t>
      </w:r>
      <w:r w:rsidR="00F4640C">
        <w:rPr>
          <w:lang w:val="el-GR"/>
        </w:rPr>
        <w:t>)</w:t>
      </w:r>
      <w:r w:rsidR="00117794" w:rsidRPr="00117794">
        <w:rPr>
          <w:lang w:val="el-GR"/>
        </w:rPr>
        <w:t xml:space="preserve">.  </w:t>
      </w:r>
      <w:r w:rsidR="00F4640C">
        <w:rPr>
          <w:lang w:val="el-GR"/>
        </w:rPr>
        <w:t>Παράλληλα</w:t>
      </w:r>
      <w:r w:rsidR="00117794" w:rsidRPr="00DD5D46">
        <w:rPr>
          <w:lang w:val="el-GR"/>
        </w:rPr>
        <w:t xml:space="preserve">, το Υπουργείο Ενέργειας, Εμπορίου, Βιομηχανίας και Τουρισμού, ως Φορέας Διαχείρισης Σχεδίων Χορηγιών, μέσω της αξιοποίησης πόρων της Τεχνικής Βοήθειας θα καλύψει τις υπερωρίες λειτουργών του Υπουργείου και θα αγοράσει υπηρεσίες από τον ιδιωτικό τομέα. </w:t>
      </w:r>
      <w:r w:rsidR="00117794">
        <w:rPr>
          <w:lang w:val="el-GR"/>
        </w:rPr>
        <w:t>Σημειώνεται ότι</w:t>
      </w:r>
      <w:r w:rsidR="00BA49CF">
        <w:rPr>
          <w:lang w:val="el-GR"/>
        </w:rPr>
        <w:t xml:space="preserve"> χρήση εξωτερικής βοήθειας έχει </w:t>
      </w:r>
      <w:r w:rsidR="00117794">
        <w:rPr>
          <w:lang w:val="el-GR"/>
        </w:rPr>
        <w:t>ήδη χρησιμοποιηθεί</w:t>
      </w:r>
      <w:r w:rsidR="00BA49CF">
        <w:rPr>
          <w:lang w:val="el-GR"/>
        </w:rPr>
        <w:t xml:space="preserve"> για την υποστήριξη της αξιολόγησης επιμέρους Καθεστώτων του ΠΑΑ για τα οποία έχει εκδηλωθεί αυξημένος όγκος ενδιαφέροντος (π.χ. Καθεστώς 4.2  «Επενδύσεις μεταποίησης»), ενώ αντίστοιχη πρόνοια προβλέπεται για Δράσεις και Καθεστώτα υψηλών απαιτήσεων και πολυπλοκότητας (βλέπε Μέτρο 16 «</w:t>
      </w:r>
      <w:r w:rsidR="00117794">
        <w:rPr>
          <w:lang w:val="el-GR"/>
        </w:rPr>
        <w:t>Συνεργασία</w:t>
      </w:r>
      <w:r w:rsidR="00BA49CF">
        <w:rPr>
          <w:lang w:val="el-GR"/>
        </w:rPr>
        <w:t>»).</w:t>
      </w:r>
    </w:p>
    <w:p w14:paraId="676280FF" w14:textId="77777777" w:rsidR="00BA49CF" w:rsidRPr="00DD5D46" w:rsidRDefault="00BA49CF" w:rsidP="00BA49CF">
      <w:pPr>
        <w:jc w:val="both"/>
        <w:rPr>
          <w:lang w:val="el-GR"/>
        </w:rPr>
      </w:pPr>
      <w:r w:rsidRPr="00DD5D46">
        <w:rPr>
          <w:lang w:val="el-GR"/>
        </w:rPr>
        <w:t xml:space="preserve">Όσον αφορά τη χρήση εξωτερικής βοήθειας για την αξιολόγηση μεγάλων έργων, δεν </w:t>
      </w:r>
      <w:r w:rsidR="00117794">
        <w:rPr>
          <w:lang w:val="el-GR"/>
        </w:rPr>
        <w:t>έχει γίνει προσφυγή σε υπηρεσίες εξωτερικών εμπειρογνωμόνων,</w:t>
      </w:r>
      <w:r w:rsidRPr="00DD5D46">
        <w:rPr>
          <w:lang w:val="el-GR"/>
        </w:rPr>
        <w:t xml:space="preserve"> καθώς </w:t>
      </w:r>
      <w:r w:rsidR="00117794">
        <w:rPr>
          <w:lang w:val="el-GR"/>
        </w:rPr>
        <w:t>στην τρέχουσα</w:t>
      </w:r>
      <w:r w:rsidRPr="00DD5D46">
        <w:rPr>
          <w:lang w:val="el-GR"/>
        </w:rPr>
        <w:t xml:space="preserve"> Προγραμματική Περίοδο δεν </w:t>
      </w:r>
      <w:r w:rsidR="00117794">
        <w:rPr>
          <w:lang w:val="el-GR"/>
        </w:rPr>
        <w:t xml:space="preserve">έχουν ακόμη ενταχθεί </w:t>
      </w:r>
      <w:r w:rsidRPr="00DD5D46">
        <w:rPr>
          <w:lang w:val="el-GR"/>
        </w:rPr>
        <w:t xml:space="preserve">μεγάλα έργα. </w:t>
      </w:r>
      <w:r w:rsidR="00117794">
        <w:rPr>
          <w:lang w:val="el-GR"/>
        </w:rPr>
        <w:t>Σημειώνεται ότι τ</w:t>
      </w:r>
      <w:r w:rsidRPr="00DD5D46">
        <w:rPr>
          <w:lang w:val="el-GR"/>
        </w:rPr>
        <w:t>α μεγάλα έργα που υλοποιούνται την τρέχουσα ΠΠ αφορούν έργα που υπήρχαν από την Προγραμματική Περίοδο 2007-2013.</w:t>
      </w:r>
    </w:p>
    <w:p w14:paraId="48FBAEF9" w14:textId="77777777" w:rsidR="00F4640C" w:rsidRDefault="00F4640C" w:rsidP="00F4640C">
      <w:pPr>
        <w:jc w:val="both"/>
        <w:rPr>
          <w:lang w:val="el-GR"/>
        </w:rPr>
      </w:pPr>
      <w:r>
        <w:rPr>
          <w:lang w:val="el-GR"/>
        </w:rPr>
        <w:t>Ειδικά</w:t>
      </w:r>
      <w:r w:rsidRPr="00DD5D46">
        <w:rPr>
          <w:lang w:val="el-GR"/>
        </w:rPr>
        <w:t xml:space="preserve">, στο ζήτημα ενίσχυσης των ελεγκτικών δυνατοτήτων της Αρχής Ελέγχου μέσω της εξασφάλισης υπηρεσιών από τον ιδιωτικό τομέα, η τελευταία βρίσκεται στο στάδιο ετοιμασίας των σχετικών εγγράφων για προκήρυξη του σχετικού διαγωνισμού αγοράς ελεγκτικών υπηρεσιών μέσω της υπογραφής Συμφωνίας Πλαίσιο, ο οποίος θα καλύπτει ολόκληρη την ΠΠ 2014-2020 και ο οποίος εκτιμάται ότι θα προκηρυχτεί πριν το τέλος του 2017. </w:t>
      </w:r>
    </w:p>
    <w:p w14:paraId="7A74555A" w14:textId="7EA6C1F1" w:rsidR="00BA49CF" w:rsidRPr="00C804CF" w:rsidRDefault="00F4640C" w:rsidP="00BA49CF">
      <w:pPr>
        <w:jc w:val="both"/>
        <w:rPr>
          <w:b/>
          <w:i/>
          <w:lang w:val="el-GR"/>
        </w:rPr>
      </w:pPr>
      <w:r w:rsidRPr="00C804CF">
        <w:rPr>
          <w:b/>
          <w:i/>
          <w:lang w:val="el-GR"/>
        </w:rPr>
        <w:t>Εκπαίδευση στελεχών</w:t>
      </w:r>
      <w:r w:rsidR="00C804CF" w:rsidRPr="00C804CF">
        <w:rPr>
          <w:b/>
          <w:i/>
          <w:lang w:val="el-GR"/>
        </w:rPr>
        <w:t>:</w:t>
      </w:r>
      <w:r w:rsidRPr="00C804CF">
        <w:rPr>
          <w:b/>
          <w:i/>
          <w:lang w:val="el-GR"/>
        </w:rPr>
        <w:t xml:space="preserve"> </w:t>
      </w:r>
    </w:p>
    <w:p w14:paraId="5BFB6829" w14:textId="77777777" w:rsidR="00BA49CF" w:rsidRDefault="00F4640C" w:rsidP="00C804CF">
      <w:pPr>
        <w:spacing w:after="120"/>
        <w:jc w:val="both"/>
        <w:rPr>
          <w:lang w:val="el-GR"/>
        </w:rPr>
      </w:pPr>
      <w:r w:rsidRPr="00F4640C">
        <w:rPr>
          <w:lang w:val="el-GR"/>
        </w:rPr>
        <w:t xml:space="preserve">Έμφαση </w:t>
      </w:r>
      <w:r>
        <w:rPr>
          <w:lang w:val="el-GR"/>
        </w:rPr>
        <w:t>δίνεται</w:t>
      </w:r>
      <w:r w:rsidRPr="00F4640C">
        <w:rPr>
          <w:lang w:val="el-GR"/>
        </w:rPr>
        <w:t xml:space="preserve"> στη συνεχή εκπαίδευση των στελεχών της Διαχειριστικής Αρχής, των Φορέων Διαχείρισης και των Δικαιούχων σε θέματα διοίκησης, διαδικασιών και διαχείρισης έργων και Σχεδίων Χορηγιών, αλλά και σε ειδικότερα θέματα που άπτονται των έργων/δράσεων που υλοποιούνται στο πλαίσιο του </w:t>
      </w:r>
      <w:r w:rsidRPr="00F4640C">
        <w:rPr>
          <w:lang w:val="el-GR"/>
        </w:rPr>
        <w:lastRenderedPageBreak/>
        <w:t>κάθε Προγράμματος και διαδικασίες στις οποίες εντοπίζονται αδυναμίες μέσω των ευρημάτων επαληθεύσεων και ελέγχων.</w:t>
      </w:r>
    </w:p>
    <w:p w14:paraId="56D7E082" w14:textId="77777777" w:rsidR="00CB50D2" w:rsidRDefault="00F4640C" w:rsidP="00C804CF">
      <w:pPr>
        <w:spacing w:after="120"/>
        <w:jc w:val="both"/>
        <w:rPr>
          <w:lang w:val="el-GR"/>
        </w:rPr>
      </w:pPr>
      <w:r>
        <w:rPr>
          <w:lang w:val="el-GR"/>
        </w:rPr>
        <w:t xml:space="preserve">Στο πλαίσιο αυτό </w:t>
      </w:r>
      <w:r w:rsidR="00ED289B">
        <w:rPr>
          <w:lang w:val="el-GR"/>
        </w:rPr>
        <w:t xml:space="preserve">εντός του 2016 αλλά και στη συνέχεια το 2017 </w:t>
      </w:r>
      <w:r w:rsidR="00ED289B" w:rsidRPr="00ED289B">
        <w:rPr>
          <w:lang w:val="el-GR"/>
        </w:rPr>
        <w:t>πραγματοποιήθηκαν</w:t>
      </w:r>
      <w:r w:rsidR="00CB50D2">
        <w:rPr>
          <w:lang w:val="el-GR"/>
        </w:rPr>
        <w:t>:</w:t>
      </w:r>
    </w:p>
    <w:p w14:paraId="32CCBF7B" w14:textId="77777777" w:rsidR="00CB50D2" w:rsidRDefault="00CB50D2" w:rsidP="00C804CF">
      <w:pPr>
        <w:numPr>
          <w:ilvl w:val="0"/>
          <w:numId w:val="30"/>
        </w:numPr>
        <w:spacing w:after="120"/>
        <w:ind w:left="426"/>
        <w:jc w:val="both"/>
        <w:rPr>
          <w:lang w:val="el-GR"/>
        </w:rPr>
      </w:pPr>
      <w:r w:rsidRPr="00CB50D2">
        <w:rPr>
          <w:lang w:val="el-GR"/>
        </w:rPr>
        <w:t>εκπαιδευτικά σεμινάρια για το ΟΠΣ, με τη συμμετοχή Ενδιάμεσων Φορέων, Δικαιούχων και λειτουργών της ΔΑ</w:t>
      </w:r>
    </w:p>
    <w:p w14:paraId="73DAACDE" w14:textId="32A3C20F" w:rsidR="00ED289B" w:rsidRDefault="00ED289B" w:rsidP="00C804CF">
      <w:pPr>
        <w:numPr>
          <w:ilvl w:val="0"/>
          <w:numId w:val="30"/>
        </w:numPr>
        <w:spacing w:after="120"/>
        <w:ind w:left="426"/>
        <w:jc w:val="both"/>
        <w:rPr>
          <w:lang w:val="el-GR"/>
        </w:rPr>
      </w:pPr>
      <w:r w:rsidRPr="00ED289B">
        <w:rPr>
          <w:lang w:val="el-GR"/>
        </w:rPr>
        <w:t xml:space="preserve">εκπαιδευτικά σεμινάρια Στελεχών Ενδιάμεσων Φορέων Δημοσίων Συμβάσεων </w:t>
      </w:r>
      <w:r>
        <w:rPr>
          <w:lang w:val="el-GR"/>
        </w:rPr>
        <w:t xml:space="preserve">και Σχεδίων Χορηγιών σχετικά με το νέο Κανονιστικό Πλαίσιο και τις νέες απαιτήσεις του Συστήματος Διαχείρισης και Ελέγχου </w:t>
      </w:r>
      <w:r w:rsidR="00AF6262">
        <w:rPr>
          <w:lang w:val="el-GR"/>
        </w:rPr>
        <w:t xml:space="preserve">(Κανονισμοί 2014-2020, </w:t>
      </w:r>
      <w:r w:rsidR="00CB50D2" w:rsidRPr="00CB50D2">
        <w:rPr>
          <w:lang w:val="el-GR"/>
        </w:rPr>
        <w:t>Έγγραφα και Οργάνωση ΣΔΕ ΠΠ 2014 – 2020 Κύπρο</w:t>
      </w:r>
      <w:r w:rsidR="00CB50D2">
        <w:rPr>
          <w:lang w:val="el-GR"/>
        </w:rPr>
        <w:t>υ, ε</w:t>
      </w:r>
      <w:r w:rsidR="00CB50D2" w:rsidRPr="00CB50D2">
        <w:rPr>
          <w:lang w:val="el-GR"/>
        </w:rPr>
        <w:t xml:space="preserve">πιλογή </w:t>
      </w:r>
      <w:r w:rsidR="00CB50D2">
        <w:rPr>
          <w:lang w:val="el-GR"/>
        </w:rPr>
        <w:t xml:space="preserve">/ </w:t>
      </w:r>
      <w:r w:rsidR="00CB50D2" w:rsidRPr="00CB50D2">
        <w:rPr>
          <w:lang w:val="el-GR"/>
        </w:rPr>
        <w:t xml:space="preserve">έγκριση και </w:t>
      </w:r>
      <w:r w:rsidR="00CB50D2">
        <w:rPr>
          <w:lang w:val="el-GR"/>
        </w:rPr>
        <w:t xml:space="preserve">παρακολούθηση </w:t>
      </w:r>
      <w:r w:rsidR="00CB50D2" w:rsidRPr="00CB50D2">
        <w:rPr>
          <w:lang w:val="el-GR"/>
        </w:rPr>
        <w:t>Έργων ΔΣ</w:t>
      </w:r>
      <w:r w:rsidR="00CB50D2">
        <w:rPr>
          <w:lang w:val="el-GR"/>
        </w:rPr>
        <w:t xml:space="preserve"> και ΣΧ, </w:t>
      </w:r>
      <w:r w:rsidR="00CB50D2" w:rsidRPr="00CB50D2">
        <w:rPr>
          <w:lang w:val="el-GR"/>
        </w:rPr>
        <w:t>Επαληθεύσεις Έργων – Χειρισμός παρατυπιών</w:t>
      </w:r>
      <w:r w:rsidR="00CB50D2">
        <w:rPr>
          <w:lang w:val="el-GR"/>
        </w:rPr>
        <w:t xml:space="preserve">, </w:t>
      </w:r>
      <w:r w:rsidR="00CB50D2" w:rsidRPr="00CB50D2">
        <w:rPr>
          <w:lang w:val="el-GR"/>
        </w:rPr>
        <w:t>Έργα που παράγουν Έσοδα</w:t>
      </w:r>
      <w:r w:rsidR="00CB50D2">
        <w:rPr>
          <w:lang w:val="el-GR"/>
        </w:rPr>
        <w:t xml:space="preserve">, </w:t>
      </w:r>
      <w:r w:rsidR="00CB50D2" w:rsidRPr="00CB50D2">
        <w:rPr>
          <w:lang w:val="el-GR"/>
        </w:rPr>
        <w:t>Κανόνες Επιλεξιμότητας</w:t>
      </w:r>
      <w:r w:rsidR="00CB50D2">
        <w:rPr>
          <w:lang w:val="el-GR"/>
        </w:rPr>
        <w:t xml:space="preserve">, </w:t>
      </w:r>
      <w:r w:rsidR="00CB50D2" w:rsidRPr="00CB50D2">
        <w:rPr>
          <w:lang w:val="el-GR"/>
        </w:rPr>
        <w:t>Εποπτεία καθηκόντων που εκχωρούνται σε ΕΦ</w:t>
      </w:r>
      <w:r w:rsidR="00CB50D2">
        <w:rPr>
          <w:lang w:val="el-GR"/>
        </w:rPr>
        <w:t xml:space="preserve">, </w:t>
      </w:r>
      <w:r w:rsidR="00CB50D2" w:rsidRPr="00CB50D2">
        <w:rPr>
          <w:lang w:val="el-GR"/>
        </w:rPr>
        <w:t>Τήρηση Μικροδεδομένων Συμμετεχόντων σε έργα ΕΚΤ</w:t>
      </w:r>
      <w:r w:rsidR="00CB50D2">
        <w:rPr>
          <w:lang w:val="el-GR"/>
        </w:rPr>
        <w:t xml:space="preserve">, </w:t>
      </w:r>
      <w:r w:rsidR="00C804CF">
        <w:rPr>
          <w:lang w:val="el-GR"/>
        </w:rPr>
        <w:t>Χρηματορ</w:t>
      </w:r>
      <w:r w:rsidR="00CB50D2" w:rsidRPr="00CB50D2">
        <w:rPr>
          <w:lang w:val="el-GR"/>
        </w:rPr>
        <w:t>οές</w:t>
      </w:r>
      <w:r w:rsidR="00CB50D2">
        <w:rPr>
          <w:lang w:val="el-GR"/>
        </w:rPr>
        <w:t xml:space="preserve">, </w:t>
      </w:r>
      <w:r w:rsidR="00CB50D2" w:rsidRPr="00CB50D2">
        <w:rPr>
          <w:lang w:val="el-GR"/>
        </w:rPr>
        <w:t>Καταπολέμηση Απάτης και Διαχείριση Κινδύνων</w:t>
      </w:r>
      <w:r w:rsidR="00CB50D2">
        <w:rPr>
          <w:lang w:val="el-GR"/>
        </w:rPr>
        <w:t xml:space="preserve">, </w:t>
      </w:r>
      <w:r w:rsidR="00CB50D2" w:rsidRPr="00CB50D2">
        <w:rPr>
          <w:lang w:val="el-GR"/>
        </w:rPr>
        <w:t>Διαχείριση Προγράμματος</w:t>
      </w:r>
      <w:r w:rsidR="00CB50D2">
        <w:rPr>
          <w:lang w:val="el-GR"/>
        </w:rPr>
        <w:t>). Ειδική προσέγγιση στις εν λόγω ενημερώσεις και εκπαιδεύσεις αφορούσε στα θέματα διαχείρισης των έργων των Στρατηγικών Ολοκληρωμένης Βιώσιμης Αστικής Ανάπτυξης και ενίσχυσης της διοικητικής ικανότητας των Αστικών Δήμων στη διαχείριση των έργων Δημοσίων Συμβ</w:t>
      </w:r>
      <w:r w:rsidR="00372C6D">
        <w:rPr>
          <w:lang w:val="el-GR"/>
        </w:rPr>
        <w:t>άσεων.</w:t>
      </w:r>
    </w:p>
    <w:p w14:paraId="2726C307" w14:textId="77777777" w:rsidR="007844D8" w:rsidRDefault="007844D8" w:rsidP="00C804CF">
      <w:pPr>
        <w:numPr>
          <w:ilvl w:val="0"/>
          <w:numId w:val="30"/>
        </w:numPr>
        <w:ind w:left="426"/>
        <w:jc w:val="both"/>
        <w:rPr>
          <w:lang w:val="el-GR"/>
        </w:rPr>
      </w:pPr>
      <w:r w:rsidRPr="007844D8">
        <w:rPr>
          <w:lang w:val="el-GR"/>
        </w:rPr>
        <w:t xml:space="preserve">σεμινάρια και εκπαιδεύσεις </w:t>
      </w:r>
      <w:r>
        <w:rPr>
          <w:lang w:val="el-GR"/>
        </w:rPr>
        <w:t>λειτουργών</w:t>
      </w:r>
      <w:r w:rsidRPr="007844D8">
        <w:rPr>
          <w:lang w:val="el-GR"/>
        </w:rPr>
        <w:t xml:space="preserve"> της ΔΑ στο εξωτερικό σχετικά με την Πολιτική Συνοχής, τη λειτουργία των ΕΔΕΤ, την ΠΑΝ κ.ά.</w:t>
      </w:r>
    </w:p>
    <w:p w14:paraId="1514991F" w14:textId="37A85F79" w:rsidR="00372C6D" w:rsidRPr="00CB50D2" w:rsidRDefault="00372C6D" w:rsidP="00372C6D">
      <w:pPr>
        <w:jc w:val="both"/>
        <w:rPr>
          <w:lang w:val="el-GR"/>
        </w:rPr>
      </w:pPr>
      <w:r>
        <w:rPr>
          <w:lang w:val="el-GR"/>
        </w:rPr>
        <w:t>Ειδικά στο πλαίσιο του ΕΓΤΑΑ πραγματοποιήθηκαν</w:t>
      </w:r>
      <w:r w:rsidR="007844D8">
        <w:rPr>
          <w:lang w:val="el-GR"/>
        </w:rPr>
        <w:t xml:space="preserve"> ετήσιες συναντήσεις/ημερίδες </w:t>
      </w:r>
      <w:r w:rsidR="007844D8" w:rsidRPr="007844D8">
        <w:rPr>
          <w:lang w:val="el-GR"/>
        </w:rPr>
        <w:t>για την αξιολόγηση και παρακολούθηση (Focus Group για την αξιολόγηση)</w:t>
      </w:r>
      <w:r w:rsidR="007844D8">
        <w:rPr>
          <w:lang w:val="el-GR"/>
        </w:rPr>
        <w:t xml:space="preserve"> του προγράμματος, ενώ σχεδιάζεται αντίστοιχο πρόγραμμα εκπαίδευσης στελεχών των Μονάδων Εφαρμογής για τα θέματα Διαχείρισης των Δημοσίων Συμβάσεων</w:t>
      </w:r>
      <w:r w:rsidR="007844D8" w:rsidRPr="007844D8">
        <w:rPr>
          <w:lang w:val="el-GR"/>
        </w:rPr>
        <w:t>.</w:t>
      </w:r>
    </w:p>
    <w:p w14:paraId="5242E8DE" w14:textId="2E5F457D" w:rsidR="00372C6D" w:rsidRPr="00C804CF" w:rsidRDefault="00372C6D" w:rsidP="00372C6D">
      <w:pPr>
        <w:jc w:val="both"/>
        <w:rPr>
          <w:b/>
          <w:i/>
          <w:lang w:val="el-GR"/>
        </w:rPr>
      </w:pPr>
      <w:r w:rsidRPr="00C804CF">
        <w:rPr>
          <w:b/>
          <w:i/>
          <w:lang w:val="el-GR"/>
        </w:rPr>
        <w:t>Ολοκληρωμένο Πληροφοριακό Σύστημα</w:t>
      </w:r>
      <w:r w:rsidR="00C804CF">
        <w:rPr>
          <w:b/>
          <w:i/>
          <w:lang w:val="el-GR"/>
        </w:rPr>
        <w:t>:</w:t>
      </w:r>
      <w:r w:rsidRPr="00C804CF">
        <w:rPr>
          <w:b/>
          <w:i/>
          <w:lang w:val="el-GR"/>
        </w:rPr>
        <w:t xml:space="preserve"> </w:t>
      </w:r>
    </w:p>
    <w:p w14:paraId="6BEC65BC" w14:textId="77777777" w:rsidR="00372C6D" w:rsidRDefault="00372C6D" w:rsidP="00372C6D">
      <w:pPr>
        <w:jc w:val="both"/>
        <w:rPr>
          <w:lang w:val="el-GR"/>
        </w:rPr>
      </w:pPr>
      <w:r>
        <w:rPr>
          <w:lang w:val="el-GR"/>
        </w:rPr>
        <w:t xml:space="preserve">Πραγματοποιήθηκε </w:t>
      </w:r>
      <w:r w:rsidRPr="00372C6D">
        <w:rPr>
          <w:lang w:val="el-GR"/>
        </w:rPr>
        <w:t>αναπροσαρμογή του πληροφοριακού συστήματος διαχείρισης των ΕΔΕΤ</w:t>
      </w:r>
      <w:r>
        <w:rPr>
          <w:lang w:val="el-GR"/>
        </w:rPr>
        <w:t xml:space="preserve"> (ΕΤΠΑ</w:t>
      </w:r>
      <w:r w:rsidRPr="00372C6D">
        <w:rPr>
          <w:lang w:val="el-GR"/>
        </w:rPr>
        <w:t>,</w:t>
      </w:r>
      <w:r>
        <w:rPr>
          <w:lang w:val="el-GR"/>
        </w:rPr>
        <w:t xml:space="preserve"> Ταμείο Συνοχής, ΕΚΤ και ΕΤΘΑ),</w:t>
      </w:r>
      <w:r w:rsidRPr="00372C6D">
        <w:rPr>
          <w:lang w:val="el-GR"/>
        </w:rPr>
        <w:t xml:space="preserve"> έτσι ώστε να περιληφθούν σε αυτό τόσο οι αλλαγές που αφορούσαν στον προγραμματισμό των ΕΔΕΤ όσο και οι αλλαγές στο Σύστημα Διαχείρισης και Ελέγχου (η προσωρινή παραλαβή του ΟΠΣ έγινε τον Οκτώβριο 2016).</w:t>
      </w:r>
    </w:p>
    <w:p w14:paraId="339E2B1D" w14:textId="700BE868" w:rsidR="00A768AB" w:rsidRDefault="00A768AB" w:rsidP="00372C6D">
      <w:pPr>
        <w:jc w:val="both"/>
        <w:rPr>
          <w:lang w:val="el-GR"/>
        </w:rPr>
      </w:pPr>
      <w:r>
        <w:rPr>
          <w:lang w:val="el-GR"/>
        </w:rPr>
        <w:t>Παράλληλα υ</w:t>
      </w:r>
      <w:r w:rsidRPr="00A768AB">
        <w:rPr>
          <w:lang w:val="el-GR"/>
        </w:rPr>
        <w:t>πάρχει πρόβλεψη και έχουν δοθεί οι προδιαγραφές στους ΕΦ για διασύνδεση των πληροφοριακών τους συστημάτων με το ΟΠΣ. Στο παρόν στάδιο τόσο το ΙΠΕ όσο και το ΥΕΕΒΤ είναι στη διαδικασία για διασύνδεση των συστημάτων τους με το ΟΠΣ.</w:t>
      </w:r>
      <w:r>
        <w:rPr>
          <w:lang w:val="el-GR"/>
        </w:rPr>
        <w:t xml:space="preserve"> Αντίστοιχη πρόβλεψη διασύνδεσης και διαλειτουργικότητας του ΟΠΣ </w:t>
      </w:r>
      <w:r w:rsidRPr="00A768AB">
        <w:rPr>
          <w:lang w:val="el-GR"/>
        </w:rPr>
        <w:t xml:space="preserve">με άλλα Πληροφοριακά Συστήματα </w:t>
      </w:r>
      <w:r>
        <w:rPr>
          <w:lang w:val="el-GR"/>
        </w:rPr>
        <w:t xml:space="preserve">τρίτων έχει προβλεφθεί αλλά δεν έχει ακόμη ενεργοποιηθεί, ενώ για την άντληση </w:t>
      </w:r>
      <w:r w:rsidRPr="00A768AB">
        <w:rPr>
          <w:lang w:val="el-GR"/>
        </w:rPr>
        <w:t>στοιχείων από τις Δημόσιες Υπηρεσίες Απασχόλησης, το Τμήμα Κοινωνικών Ασφ</w:t>
      </w:r>
      <w:r>
        <w:rPr>
          <w:lang w:val="el-GR"/>
        </w:rPr>
        <w:t>αλίσεων του Υπουργείου Εργασίας και</w:t>
      </w:r>
      <w:r w:rsidRPr="00A768AB">
        <w:rPr>
          <w:lang w:val="el-GR"/>
        </w:rPr>
        <w:t xml:space="preserve"> την Αρχή Ανάπτυξης Ανθρώπινου Δυναμικο</w:t>
      </w:r>
      <w:r>
        <w:rPr>
          <w:lang w:val="el-GR"/>
        </w:rPr>
        <w:t>ύ προβλέπεται να πραγματοποιείται  μεταφορά των συγκεντρωτικών στοιχείων σε ηλεκτρονική μορφή.</w:t>
      </w:r>
    </w:p>
    <w:p w14:paraId="55E8C203" w14:textId="77777777" w:rsidR="00372C6D" w:rsidRDefault="00372C6D" w:rsidP="00372C6D">
      <w:pPr>
        <w:jc w:val="both"/>
        <w:rPr>
          <w:i/>
          <w:lang w:val="el-GR"/>
        </w:rPr>
      </w:pPr>
      <w:r>
        <w:rPr>
          <w:lang w:val="el-GR"/>
        </w:rPr>
        <w:t>Ειδικά για το ΕΓΤΑΑ τον</w:t>
      </w:r>
      <w:r w:rsidRPr="00372C6D">
        <w:rPr>
          <w:lang w:val="el-GR"/>
        </w:rPr>
        <w:t xml:space="preserve"> </w:t>
      </w:r>
      <w:r>
        <w:rPr>
          <w:lang w:val="el-GR"/>
        </w:rPr>
        <w:t>Σεπτέμβρη</w:t>
      </w:r>
      <w:r w:rsidRPr="00372C6D">
        <w:rPr>
          <w:lang w:val="el-GR"/>
        </w:rPr>
        <w:t xml:space="preserve"> 2016 μεταξύ του ΚΟΑΠ και εξωτερικού αναδόχου υπεγράφη συμφωνία για παροχή υπηρεσιών ανάπτυξης, εγκατάστασης και συντήρησης των λογισμικών εφαρμογών του ΠΑΑ 2014-2020.  Η σύμβαση προβλέπει την ανάπτυξη λογισμικών εφαρμογών, που καλύπτουν τις </w:t>
      </w:r>
      <w:r w:rsidRPr="00372C6D">
        <w:rPr>
          <w:lang w:val="el-GR"/>
        </w:rPr>
        <w:lastRenderedPageBreak/>
        <w:t>λειτουργίες υποδοχής και καταχώρησης των αιτήσεων των Δικαιούχων του ΠΑΑ, των διοικητικών και επιτόπιων ελέγχων των αιτήσεων, πληρωμών, ενστάσεων, καταχώρησης παρατυπιών και επιβολής ποινών, καθώς και της εξαγωγής στατιστικών στοιχείων και δεικτών παρακολούθησης. Η σύμβαση καλύπτει 18 Μέτρα/Καθεστώτα του ΠΑΑ, καθώς και το σύνολο των δεικτών του Προγράμματος.</w:t>
      </w:r>
    </w:p>
    <w:p w14:paraId="5D67DC0F" w14:textId="77777777" w:rsidR="00372C6D" w:rsidRPr="00C804CF" w:rsidRDefault="00A768AB" w:rsidP="00372C6D">
      <w:pPr>
        <w:jc w:val="both"/>
        <w:rPr>
          <w:b/>
          <w:i/>
          <w:lang w:val="el-GR"/>
        </w:rPr>
      </w:pPr>
      <w:bookmarkStart w:id="38" w:name="_Hlk488049350"/>
      <w:r w:rsidRPr="00C804CF">
        <w:rPr>
          <w:b/>
          <w:i/>
          <w:lang w:val="el-GR"/>
        </w:rPr>
        <w:t>Λοιπά μέτρα</w:t>
      </w:r>
      <w:r w:rsidR="00372C6D" w:rsidRPr="00C804CF">
        <w:rPr>
          <w:b/>
          <w:i/>
          <w:lang w:val="el-GR"/>
        </w:rPr>
        <w:t xml:space="preserve"> </w:t>
      </w:r>
    </w:p>
    <w:bookmarkEnd w:id="38"/>
    <w:p w14:paraId="747205A9" w14:textId="77777777" w:rsidR="00B62A79" w:rsidRPr="00DD5D46" w:rsidRDefault="00B62A79" w:rsidP="00B62A79">
      <w:pPr>
        <w:jc w:val="both"/>
        <w:rPr>
          <w:lang w:val="el-GR"/>
        </w:rPr>
      </w:pPr>
      <w:r w:rsidRPr="00DD5D46">
        <w:rPr>
          <w:lang w:val="el-GR"/>
        </w:rPr>
        <w:t xml:space="preserve">Σημαντικό ρόλο στη αποτελεσματικότητα της </w:t>
      </w:r>
      <w:r w:rsidR="007844D8">
        <w:rPr>
          <w:lang w:val="el-GR"/>
        </w:rPr>
        <w:t xml:space="preserve">διοικητικής ικανότητας Διαχείρισης και Ελέγχου των συγχρηματοδοτούμενων παρεμβάσεων </w:t>
      </w:r>
      <w:r w:rsidRPr="00DD5D46">
        <w:rPr>
          <w:lang w:val="el-GR"/>
        </w:rPr>
        <w:t>διαδραματίζουν οι συναντήσεις συντονισμού της Διαχειριστικής Αρχής με Φορείς Διαχείρισης και άλλους φορείς που έχο</w:t>
      </w:r>
      <w:r>
        <w:rPr>
          <w:lang w:val="el-GR"/>
        </w:rPr>
        <w:t>υ</w:t>
      </w:r>
      <w:r w:rsidRPr="00DD5D46">
        <w:rPr>
          <w:lang w:val="el-GR"/>
        </w:rPr>
        <w:t>ν την ευθύνη για την επαλήθευση και τον έλεγχο των Προγραμμάτων. Μέσω αυτών των συναντήσεων που έχουν πραγματοποιηθεί  σε επίπεδο Γενικών Διευθυντών αλλά και σε επίπεδο Υπουργών, όποτε έχει κριθεί απαραίτητο, προωθείται η ανταλλαγή απόψεων και εμπειριών, η μεταφορά καλών πρακτικών και η έγκαιρη αντιμετώπιση προβλημάτων ή/και κινδύνων που ενδεχομένως θα ανακύψουν κατά την υλοποίηση των Ε.Π.</w:t>
      </w:r>
    </w:p>
    <w:p w14:paraId="555018E8" w14:textId="225CDDC1" w:rsidR="00A768AB" w:rsidRPr="00DD5D46" w:rsidRDefault="00A768AB" w:rsidP="00A768AB">
      <w:pPr>
        <w:jc w:val="both"/>
        <w:rPr>
          <w:lang w:val="el-GR"/>
        </w:rPr>
      </w:pPr>
      <w:r w:rsidRPr="00DD5D46">
        <w:rPr>
          <w:lang w:val="el-GR"/>
        </w:rPr>
        <w:t>Στο πλαίσιο εφαρμογής αποτελεσματικών μέτρων για τον εντοπισμό έργων με αυξημένους κινδύνους, ενίσχυσης των διαδικασιών επαληθεύσεων και της καταπολέμηση της απάτης η Κύπρος αφού αξιολόγησε το προαιρετικό εργαλείο ARACHNE που πρότεινε η Ευρωπαϊκή Επιτροπή για την καταπολέμηση της απάτης αποφάσισε να μην το χρησιμοποιήσει κατά την παρούσα φάση. Θα αξιολογηθεί ξανά πολύ αργότερα κατά πόσο θα είναι εφικτή η χρήση του.  Σύμφωνα με το Σύστημα Διαχείρισης και Ελέγχου (ΣΔΕ) της Κύπρου, θα χρησιμοποιηθεί το εργαλείο αξιολόγησης κινδύνων απάτης – Risk assessment tool.</w:t>
      </w:r>
    </w:p>
    <w:p w14:paraId="7CD86780" w14:textId="77777777" w:rsidR="00A768AB" w:rsidRPr="00DD5D46" w:rsidRDefault="00A768AB" w:rsidP="00A768AB">
      <w:pPr>
        <w:jc w:val="both"/>
        <w:rPr>
          <w:lang w:val="el-GR"/>
        </w:rPr>
      </w:pPr>
      <w:r w:rsidRPr="00DD5D46">
        <w:rPr>
          <w:lang w:val="el-GR"/>
        </w:rPr>
        <w:t>Ωστόσο, σημειώνεται ότι το Μάιο του 2016, πραγματοποιήθηκε μια άτυπη συνάντηση με πρωτοβουλία της ΔΑ, για μια προκαταρκτική αξιολόγηση κινδύνων απάτης, με βάση την εμπειρία και σχετικά στοιχεία από την προηγούμενη προγραμματική περίοδο, λαμβάνοντας υπόψη και τη φύση των δράσεων και των έργων της νέας Προγραμματικής Περιόδου 2014-2020.  Τα άτομα που κλήθηκαν άτυπα σε αυτή τη συνάντηση περιλάμβαναν στελέχη τόσο της ΔΑ, της ΑΠ, καθώς και στελέχη επιλεγμένων ΕΦ έργων Δημοσίων Συμβάσεων και έργων Σχεδίων Χορηγιών.  Αποτέλεσμα της ομάδας αυτής ήταν ένας ενδεικτικός πίνακας καταγραφής διαφόρων κινδύνων που θα μπορούσε να προκύψει κατά τη διάρκεια της Προγραμματικής Περιόδου 2014-2020.  Συμφωνήθηκε πως θα πρέπει να ορισθεί επίσημα μια Ομάδα Αξιολόγησης Κινδύνων Απάτης.</w:t>
      </w:r>
    </w:p>
    <w:p w14:paraId="150796EF" w14:textId="77777777" w:rsidR="00A768AB" w:rsidRDefault="00A768AB" w:rsidP="00A768AB">
      <w:pPr>
        <w:jc w:val="both"/>
        <w:rPr>
          <w:lang w:val="el-GR"/>
        </w:rPr>
      </w:pPr>
      <w:r w:rsidRPr="00DD5D46">
        <w:rPr>
          <w:lang w:val="el-GR"/>
        </w:rPr>
        <w:t>Η Διαχειριστική Αρχή είναι στη διαδικασία συγκρότησης μιας Ομάδας Αξιολόγησης Κινδύνων Απάτης για όλα τα ΕΠ που αρμοδιότητα της οποίας θα είναι η διενέργεια αξιολογήσεων των κινδύνων απάτης κατά την εφαρμογή των διαδικασιών του ΣΔΕ, η συγκέντρωση των απαραίτητων στοιχείων για το σκοπό αυτό, η παρακολούθηση της εφαρμογής σχετικών μέτρων και η εκπαίδευση/ευαισθητοποίηση του προσωπικού της ΔΑ και των ΕΦ σε θέματα καταπολέμησης απάτης.</w:t>
      </w:r>
    </w:p>
    <w:p w14:paraId="5F3604FF" w14:textId="77777777" w:rsidR="00D70349" w:rsidRDefault="00D70349" w:rsidP="00DD5D46">
      <w:pPr>
        <w:jc w:val="both"/>
        <w:rPr>
          <w:lang w:val="el-GR"/>
        </w:rPr>
      </w:pPr>
      <w:r>
        <w:rPr>
          <w:lang w:val="el-GR"/>
        </w:rPr>
        <w:t xml:space="preserve">Ειδικά για τις ανάγκες </w:t>
      </w:r>
      <w:r w:rsidRPr="00D70349">
        <w:rPr>
          <w:lang w:val="el-GR"/>
        </w:rPr>
        <w:t>βελτίωση</w:t>
      </w:r>
      <w:r>
        <w:rPr>
          <w:lang w:val="el-GR"/>
        </w:rPr>
        <w:t>ς</w:t>
      </w:r>
      <w:r w:rsidRPr="00D70349">
        <w:rPr>
          <w:lang w:val="el-GR"/>
        </w:rPr>
        <w:t xml:space="preserve"> των διοικητικών ικανοτήτων των </w:t>
      </w:r>
      <w:r>
        <w:rPr>
          <w:lang w:val="el-GR"/>
        </w:rPr>
        <w:t>μηχανισμών σχεδιασμού και υλοποίησης ολοκληρωμένων παρεμβάσεων λαμβάνονται σειρά μέτρων όπως:</w:t>
      </w:r>
    </w:p>
    <w:p w14:paraId="366A90FD" w14:textId="77777777" w:rsidR="00D70349" w:rsidRDefault="005E4450" w:rsidP="00C804CF">
      <w:pPr>
        <w:numPr>
          <w:ilvl w:val="0"/>
          <w:numId w:val="31"/>
        </w:numPr>
        <w:ind w:left="426"/>
        <w:jc w:val="both"/>
        <w:rPr>
          <w:lang w:val="el-GR"/>
        </w:rPr>
      </w:pPr>
      <w:r>
        <w:rPr>
          <w:lang w:val="el-GR"/>
        </w:rPr>
        <w:t>κατάρτιση και εκπαίδευση στελεχών της Τοπικής Αυτοδιοίκησης  για την εξοικείωσή τους με το νέο διαχειριστικό πλαίσιο, την ενδυνάμωση και την πραγμάτωση  του ρόλου τους ως ΕΦ των στρατηγικών Ολοκληρωμένης Βιώσιμης Αστικής Ανάπτυξης.</w:t>
      </w:r>
    </w:p>
    <w:p w14:paraId="31491865" w14:textId="77777777" w:rsidR="00D70349" w:rsidRDefault="00D70349" w:rsidP="00C804CF">
      <w:pPr>
        <w:numPr>
          <w:ilvl w:val="0"/>
          <w:numId w:val="31"/>
        </w:numPr>
        <w:spacing w:after="0"/>
        <w:ind w:left="426"/>
        <w:jc w:val="both"/>
        <w:rPr>
          <w:lang w:val="el-GR"/>
        </w:rPr>
      </w:pPr>
      <w:r>
        <w:rPr>
          <w:lang w:val="el-GR"/>
        </w:rPr>
        <w:lastRenderedPageBreak/>
        <w:t>απλούστευση των διαδικασιών και την κατάργηση ενδιάμεσων σταδίων αξιολόγησης  και έγκρισης των επενδυτικών προτάσεων</w:t>
      </w:r>
      <w:r w:rsidRPr="00D70349">
        <w:rPr>
          <w:lang w:val="el-GR"/>
        </w:rPr>
        <w:t xml:space="preserve"> </w:t>
      </w:r>
      <w:r>
        <w:rPr>
          <w:lang w:val="el-GR"/>
        </w:rPr>
        <w:t xml:space="preserve">που εντάσσονται σε στρατηγικές Τοπικής Ανάπτυξης με πρωτοβουλία Τοπικών Κοινοτήτων, καθώς και ενίσχυση της ικανότητας των </w:t>
      </w:r>
      <w:r w:rsidRPr="00D70349">
        <w:rPr>
          <w:lang w:val="el-GR"/>
        </w:rPr>
        <w:t xml:space="preserve"> Ομάδων Τοπικής Δράσης (ΟΤΔ) </w:t>
      </w:r>
      <w:r>
        <w:rPr>
          <w:lang w:val="el-GR"/>
        </w:rPr>
        <w:t>μέσω της ενίσχυσης της στελέχωσής τους και την παροχή εξειδικευμένης εκπαίδευσης/κατάρτισης.</w:t>
      </w:r>
    </w:p>
    <w:p w14:paraId="5C39B667" w14:textId="77777777" w:rsidR="00F4640C" w:rsidRDefault="00F4640C" w:rsidP="00AD5E13">
      <w:pPr>
        <w:spacing w:after="0" w:line="240" w:lineRule="auto"/>
        <w:jc w:val="both"/>
        <w:rPr>
          <w:lang w:val="el-GR"/>
        </w:rPr>
      </w:pPr>
    </w:p>
    <w:p w14:paraId="2D1773D9" w14:textId="77777777" w:rsidR="008931C8" w:rsidRPr="008931C8" w:rsidRDefault="008931C8" w:rsidP="001D583B">
      <w:pPr>
        <w:pStyle w:val="Heading1"/>
        <w:numPr>
          <w:ilvl w:val="0"/>
          <w:numId w:val="7"/>
        </w:numPr>
        <w:ind w:left="426"/>
        <w:rPr>
          <w:rFonts w:ascii="Calibri" w:hAnsi="Calibri"/>
          <w:lang w:val="el-GR"/>
        </w:rPr>
      </w:pPr>
      <w:bookmarkStart w:id="39" w:name="_Toc483572195"/>
      <w:r w:rsidRPr="008931C8">
        <w:rPr>
          <w:rFonts w:ascii="Calibri" w:hAnsi="Calibri"/>
          <w:caps/>
          <w:smallCaps w:val="0"/>
          <w:lang w:val="el-GR"/>
        </w:rPr>
        <w:t xml:space="preserve">Μέτρα που λήφθηκαν και πρόοδος που επιτεύχθηκε όσον αφορά τη μείωση της διοικητικής επιβάρυνσης για τους δικαιούχους </w:t>
      </w:r>
      <w:r w:rsidRPr="008931C8">
        <w:rPr>
          <w:rStyle w:val="FootnoteReference"/>
          <w:rFonts w:ascii="Calibri" w:hAnsi="Calibri"/>
          <w:bCs w:val="0"/>
          <w:caps/>
          <w:smallCaps w:val="0"/>
          <w:lang w:val="el-GR"/>
        </w:rPr>
        <w:footnoteReference w:id="17"/>
      </w:r>
      <w:bookmarkEnd w:id="39"/>
    </w:p>
    <w:p w14:paraId="36E3D754" w14:textId="77777777" w:rsidR="005E4450" w:rsidRDefault="005E4450" w:rsidP="00A768AB">
      <w:pPr>
        <w:jc w:val="both"/>
        <w:rPr>
          <w:lang w:val="el-GR"/>
        </w:rPr>
      </w:pPr>
      <w:r w:rsidRPr="005E4450">
        <w:rPr>
          <w:lang w:val="el-GR"/>
        </w:rPr>
        <w:t>Η απλοποίηση των διοικητικών διαδικασιών για την εφαρμογή των Προγραμμάτων και η μείωση του διοικητικού κόστους για τους δικαιούχους, αφορά σε μία σειρά ενεργειών οι οποίες αναλαμβάνονται τόσο στο στάδιο της προετοιμασίας, υποβολής και επιλογής των συγχρηματοδοτούμενων παρεμβάσεων όσο και στο στάδιο της υλοποίησής τους.</w:t>
      </w:r>
    </w:p>
    <w:p w14:paraId="5DC87207" w14:textId="77777777" w:rsidR="00110C9A" w:rsidRPr="00A768AB" w:rsidRDefault="005E4450" w:rsidP="00A768AB">
      <w:pPr>
        <w:jc w:val="both"/>
        <w:rPr>
          <w:lang w:val="el-GR"/>
        </w:rPr>
      </w:pPr>
      <w:r>
        <w:rPr>
          <w:lang w:val="el-GR"/>
        </w:rPr>
        <w:t>Ειδικότερα κ</w:t>
      </w:r>
      <w:r w:rsidR="00110C9A" w:rsidRPr="00A768AB">
        <w:rPr>
          <w:lang w:val="el-GR"/>
        </w:rPr>
        <w:t xml:space="preserve">ατά το 2016 καταρτίσθηκαν εγκύκλιοι σχετικά με την εκτέλεση των καθηκόντων των διαφόρων αρχών και φορέων που εμπλέκονται στο Σύστημα Διαχείρισης και Ελέγχου των Ε.Π. που συγχρηματοδοτούνται από το ΕΤΠΑ, το ΤΣ, το ΕΚΤ και το ΕΤΘΑ, τις διαδικασίες ένταξης  έργων που εκτελούνται με Δημόσιες Συμβάσεις ή υλοποιούνται στο πλαίσιο των Σχεδίων Χορηγιών, τους κανόνες επιλεξιμότητας, τον υπολογισμό του επιλέξιμου για συγχρηματοδότηση κόστους των έργων που παράγουν καθαρά έσοδα, τις χρηματορροές των έργων, την τήρηση επαρκούς διαδρομής ελέγχου και τις διαδικασίες επαληθεύσεων,  την ενημέρωση και το χειρισμό παρατυπιών που προκύπτουν κατά την υλοποίηση των Ε.Π. και την παρακολούθηση της συνολικής πορείας υλοποίησης των  Ε.Π. </w:t>
      </w:r>
    </w:p>
    <w:p w14:paraId="6DCB5F71" w14:textId="77777777" w:rsidR="00110C9A" w:rsidRPr="00A768AB" w:rsidRDefault="00110C9A" w:rsidP="00A768AB">
      <w:pPr>
        <w:jc w:val="both"/>
        <w:rPr>
          <w:lang w:val="el-GR"/>
        </w:rPr>
      </w:pPr>
      <w:r w:rsidRPr="00A768AB">
        <w:rPr>
          <w:lang w:val="el-GR"/>
        </w:rPr>
        <w:t xml:space="preserve">Παράλληλα εκδόθηκαν εγκύκλιοι και εγχειρίδια σχετικά με το ηλεκτρονικό σύστημα εγγραφής και αποθήκευσης δεδομένων για κάθε έργο (ΟΠΣ), τα οποία τέθηκαν στη διάθεση της Αρχής Ελέγχου, προς αξιολόγηση της συμμόρφωσης. Η συγκεκριμένη διαδικασία, η οποία αποτελούσε και προϋπόθεση για την αποστολή του 1ου αιτήματος πληρωμής στην Ε.Ε.,  ολοκληρώθηκε από την Αρχή Ελέγχου με την έκδοση σύμφωνης γνώμης στις 23/5/2016 και την ίδια ημερομηνία αποστάλθηκε στην Ευρωπαϊκή Επιτροπή η σχετική απόφαση διορισμού των Αρχών. </w:t>
      </w:r>
    </w:p>
    <w:p w14:paraId="2E195748" w14:textId="77777777" w:rsidR="00110C9A" w:rsidRPr="00953BE1" w:rsidRDefault="00110C9A" w:rsidP="00DA3BC9">
      <w:pPr>
        <w:jc w:val="both"/>
        <w:rPr>
          <w:lang w:val="el-GR"/>
        </w:rPr>
      </w:pPr>
      <w:r w:rsidRPr="00A768AB">
        <w:rPr>
          <w:lang w:val="el-GR"/>
        </w:rPr>
        <w:t>Αντίστοιχα στο πλαίσιο του ΠΑΑ εκδόθηκαν αναλυτικοί Οδηγοί των Προσκλήσεων υποβολής αιτήσεων των Δικαιούχων και Εγχειρίδια Εφαρμογής Διαδικασιών των ενισχύσεων.</w:t>
      </w:r>
      <w:r w:rsidR="00953BE1" w:rsidRPr="00953BE1">
        <w:rPr>
          <w:lang w:val="el-GR"/>
        </w:rPr>
        <w:t xml:space="preserve"> Δεδομένου ότι κατά την προηγούμενη προγραμματική περίοδο παρουσιάστηκε το πρόβλημα της μη ορθής δήλωσης των εκτάσεων σύμφωνα με τη βάση δεδομένων Land Parcel Information System (LPIS), για την επίλυση του εφαρμόστηκε σύστημα περισσότερο ολοκληρωμένης πληροφόρησης των αιτητών η οποία γίνεται σύμφωνα με τα πλέον επίκαιρα στοιχεία της βάσης δεδομένων LPIS του Οργανισμού Πληρωμών. Επιπλέον, λόγω της πλήρους αυτοματοποίησης του συστήματος υποβολής αιτήσεων η πληροφόρηση αυτή είναι ανά πάσα στιγμή διαθέσιμη για όλους τους χρήστες.</w:t>
      </w:r>
    </w:p>
    <w:p w14:paraId="1D3627EB" w14:textId="77777777" w:rsidR="005E4450" w:rsidRDefault="005E4450" w:rsidP="005E4450">
      <w:pPr>
        <w:jc w:val="both"/>
        <w:rPr>
          <w:lang w:val="el-GR"/>
        </w:rPr>
      </w:pPr>
      <w:r w:rsidRPr="00DD5D46">
        <w:rPr>
          <w:lang w:val="el-GR"/>
        </w:rPr>
        <w:t xml:space="preserve">Σε λειτουργικό επίπεδο, είναι υπό υλοποίηση η αναβάθμιση του ΟΠΣ ώστε να καταστεί πιο διαλειτουργικό, χρηστικότερο και απλούστερο με δυνατότητα ηλεκτρονικής υποβολής στοιχείων από τους δικαιούχους έργων Σχεδίων Χορηγιών. Ειδικότερα, σε σχέση με το τελευταίο αυτή η δυνατότητα προβλέπεται στο στάδιο μετά τη συμφωνία χρηματοδότησης ενώ προωθείται επίσης η δυνατότητα </w:t>
      </w:r>
      <w:r w:rsidRPr="00DD5D46">
        <w:rPr>
          <w:lang w:val="el-GR"/>
        </w:rPr>
        <w:lastRenderedPageBreak/>
        <w:t xml:space="preserve">συγκέντρωσης στοιχείων των δικαιούχων από σχετιζόμενες δημόσιες υπηρεσίες όπως οι Δημόσιες Υπηρεσίες Απασχόλησης, το Τμήμα Κοινωνικών Ασφαλίσεων του Υπουργείου Εργασίας, την Αρχή Ανάπτυξης Ανθρώπινου Δυναμικού κλπ. </w:t>
      </w:r>
      <w:r>
        <w:rPr>
          <w:lang w:val="el-GR"/>
        </w:rPr>
        <w:t>Εκτεταμένη χρήση της δυνατότητας ηλεκτρονικής υποβολής αιτήσεων και στοιχείων παρέχεται στην περίπτωση των εκταρικών μέτρων του ΠΑΑ.</w:t>
      </w:r>
    </w:p>
    <w:p w14:paraId="41A63624" w14:textId="77777777" w:rsidR="005E4450" w:rsidRPr="00DD5D46" w:rsidRDefault="005E4450" w:rsidP="005E4450">
      <w:pPr>
        <w:jc w:val="both"/>
        <w:rPr>
          <w:lang w:val="el-GR"/>
        </w:rPr>
      </w:pPr>
      <w:r w:rsidRPr="00DD5D46">
        <w:rPr>
          <w:lang w:val="el-GR"/>
        </w:rPr>
        <w:t>Επιπλέον, υπάρχει πρόβλεψη για τη διασύνδεση του ΟΠΣ με πληροφοριακά συστήματα των ΕΦ και έχουν δοθεί στους τελευταίους οι σχετικές προδιαγραφές. Τόσο το ΙΠΕ όσο και το ΥΕΕΒΤ είναι στη διαδικασία για διασύνδεση των συστημάτων τους με το ΟΠΣ. Μελλοντικά, υπάρχει πρόνοια για διασύνδεσή του και με άλλα πληροφοριακά συστήματα.</w:t>
      </w:r>
    </w:p>
    <w:p w14:paraId="2077DFC4" w14:textId="77777777" w:rsidR="007844D8" w:rsidRPr="00D02D57" w:rsidRDefault="005E4450" w:rsidP="007844D8">
      <w:pPr>
        <w:jc w:val="both"/>
        <w:rPr>
          <w:lang w:val="el-GR"/>
        </w:rPr>
      </w:pPr>
      <w:r>
        <w:rPr>
          <w:lang w:val="el-GR"/>
        </w:rPr>
        <w:t>Ταυτόχρονα</w:t>
      </w:r>
      <w:r w:rsidR="007844D8" w:rsidRPr="00DD5D46">
        <w:rPr>
          <w:lang w:val="el-GR"/>
        </w:rPr>
        <w:t>, συνεχίζετ</w:t>
      </w:r>
      <w:r w:rsidR="00291C74">
        <w:rPr>
          <w:lang w:val="el-GR"/>
        </w:rPr>
        <w:t xml:space="preserve">αι και ενισχύεται ο θεσμός του </w:t>
      </w:r>
      <w:r w:rsidR="00291C74" w:rsidRPr="00291C74">
        <w:rPr>
          <w:lang w:val="el-GR"/>
        </w:rPr>
        <w:t>“</w:t>
      </w:r>
      <w:r w:rsidR="007844D8" w:rsidRPr="00DD5D46">
        <w:rPr>
          <w:lang w:val="el-GR"/>
        </w:rPr>
        <w:t xml:space="preserve">Help Desk” στη </w:t>
      </w:r>
      <w:r w:rsidR="00D46AAA">
        <w:rPr>
          <w:lang w:val="el-GR"/>
        </w:rPr>
        <w:t>ΔΑ</w:t>
      </w:r>
      <w:r w:rsidR="007844D8" w:rsidRPr="00DD5D46">
        <w:rPr>
          <w:lang w:val="el-GR"/>
        </w:rPr>
        <w:t xml:space="preserve"> για επίλυση προβλημάτων και αδυναμιών των φορέων υλοποίησης και διαχείρισης κατά τη διάρκεια της εφαρμογής των Προγραμμάτων. Σύμφωνα με την διαδικασία που ακολουθείται, ο χρήστης αποστέλλει στην ηλεκτρονική διεύθυνση</w:t>
      </w:r>
      <w:r w:rsidR="00AD5E13">
        <w:rPr>
          <w:lang w:val="el-GR"/>
        </w:rPr>
        <w:t xml:space="preserve"> </w:t>
      </w:r>
      <w:hyperlink r:id="rId17" w:history="1">
        <w:r w:rsidR="00AD5E13" w:rsidRPr="00FF7FED">
          <w:rPr>
            <w:rStyle w:val="Hyperlink"/>
            <w:lang w:val="el-GR"/>
          </w:rPr>
          <w:t>ops@dgepcd.gov.cy</w:t>
        </w:r>
      </w:hyperlink>
      <w:r w:rsidR="00AD5E13">
        <w:rPr>
          <w:lang w:val="el-GR"/>
        </w:rPr>
        <w:t xml:space="preserve"> </w:t>
      </w:r>
      <w:r w:rsidR="007844D8" w:rsidRPr="00DD5D46">
        <w:rPr>
          <w:lang w:val="el-GR"/>
        </w:rPr>
        <w:t xml:space="preserve"> συμπληρωμένη μια φόρμα αιτήματος παροχής υπηρεσιών αναφέροντας το πρόβλημα που αντιμετωπίζει μαζί με τα προσωπικά του στοιχεία. Το πρόβλημα αξιολογείται και αποστέλλεται στον αρμόδιο λειτουργό για χειρισμό. Στη συνέχεια ο αρμόδιος λειτουργός για το συγκεκριμένο θέμα αποστέλλει απάντηση στο χρήστη μέσω ηλεκτρονικού ταχυδρομείου.</w:t>
      </w:r>
      <w:r>
        <w:rPr>
          <w:lang w:val="el-GR"/>
        </w:rPr>
        <w:t xml:space="preserve"> Όμοια διαδικασία ακολουθείται και στην περίπτωση του ΠΑΑ, με τους εμπλεκόμενους στη Διαχείριση του ΠΑΑ να απευθύνονται ηλεκτρονικά προς τη Διαχειριστική Αρχή του Προγράμματος με συγκεκριμένα ερωτήματα.</w:t>
      </w:r>
      <w:r w:rsidR="00D02D57" w:rsidRPr="00D02D57">
        <w:rPr>
          <w:lang w:val="el-GR"/>
        </w:rPr>
        <w:t xml:space="preserve"> Η Διαχειριστική Αρχή επίσης δημιούργησε ειδική ιστοσελίδα για το Πρόγραμμα, ενώ τα Κέντρα Εξυπηρέτησης του Αγρότη (ΚΕΑ) παρέχουν συστηματικά πληροφόρηση στους γεωργοκτηνοτρόφους.</w:t>
      </w:r>
    </w:p>
    <w:p w14:paraId="31D03021" w14:textId="77777777" w:rsidR="007844D8" w:rsidRPr="00DD5D46" w:rsidRDefault="007844D8" w:rsidP="007844D8">
      <w:pPr>
        <w:jc w:val="both"/>
        <w:rPr>
          <w:lang w:val="el-GR"/>
        </w:rPr>
      </w:pPr>
      <w:r w:rsidRPr="00DD5D46">
        <w:rPr>
          <w:lang w:val="el-GR"/>
        </w:rPr>
        <w:t>Παράλληλα, υλοποιούνται ανάλογα με το πλαίσιο εφαρμογής, σε ετήσια βάση, ανά διετία ή με την έκδοση νέου σχεδίου χορηγιών, δράσεις οι οποίες έχου</w:t>
      </w:r>
      <w:r>
        <w:rPr>
          <w:lang w:val="el-GR"/>
        </w:rPr>
        <w:t>ν ως στόχο έχουν την εκπαίδευση</w:t>
      </w:r>
      <w:r w:rsidRPr="00DD5D46">
        <w:rPr>
          <w:lang w:val="el-GR"/>
        </w:rPr>
        <w:t xml:space="preserve"> στελεχών των Φορέων Διαχείρισης ή/και των φορέων υλοποίησης, κατά την προετοιμασία ή την υλοποίηση παρεμβάσεων, σε τομείς που εντοπίζονται ιδιαίτερες αδυναμίες όπως οι διαδικασίες ένταξής και παρακολούθησης έργων, επαλήθευσης του φυσικού και οικονομικού αντικειμένου, αξιολόγησης των Οδηγών Εφαρμογής Σχεδίων Χορηγιών, πιστοποίησης φορέων και κατανόησης νομοθετικού και κανονιστικού πλαισίου και αξιοποίησης του λογιστικού προσωπικού σε σχέση με τις διαχειριστικές ανάγκες των έργων.</w:t>
      </w:r>
    </w:p>
    <w:p w14:paraId="1AD3383C" w14:textId="5A02303F" w:rsidR="007844D8" w:rsidRDefault="007844D8" w:rsidP="007844D8">
      <w:pPr>
        <w:jc w:val="both"/>
        <w:rPr>
          <w:lang w:val="el-GR"/>
        </w:rPr>
      </w:pPr>
      <w:r w:rsidRPr="00DD5D46">
        <w:rPr>
          <w:lang w:val="el-GR"/>
        </w:rPr>
        <w:t xml:space="preserve">Τέλος, </w:t>
      </w:r>
      <w:r w:rsidR="00D70349">
        <w:rPr>
          <w:lang w:val="el-GR"/>
        </w:rPr>
        <w:t>οι Διαχειριστικές Αρχές, οι ΕΦ και οι Μονάδες Εφαρμογής</w:t>
      </w:r>
      <w:r w:rsidRPr="00DD5D46">
        <w:rPr>
          <w:lang w:val="el-GR"/>
        </w:rPr>
        <w:t xml:space="preserve"> </w:t>
      </w:r>
      <w:r w:rsidR="00D70349">
        <w:rPr>
          <w:lang w:val="el-GR"/>
        </w:rPr>
        <w:t>υλοποιούν</w:t>
      </w:r>
      <w:r w:rsidRPr="00DD5D46">
        <w:rPr>
          <w:lang w:val="el-GR"/>
        </w:rPr>
        <w:t xml:space="preserve"> συνεχόμενες δράσεις ημερίδων ενημέρωσης του κοινού στο πλαίσιο της κάθε πρόσκλησης υποβολής προτάσεων στα Σχέδια Χορηγιών αλλά και στο πλαίσιο πληροφόρησης σχετικά με την πορεία υλοποίησης των Ε.Π. και του ΠΑΑ.</w:t>
      </w:r>
    </w:p>
    <w:p w14:paraId="2101CC69" w14:textId="1B00641A" w:rsidR="001C18AE" w:rsidRDefault="001C18AE">
      <w:pPr>
        <w:spacing w:after="0" w:line="240" w:lineRule="auto"/>
        <w:rPr>
          <w:lang w:val="el-GR"/>
        </w:rPr>
      </w:pPr>
      <w:r>
        <w:rPr>
          <w:lang w:val="el-GR"/>
        </w:rPr>
        <w:br w:type="page"/>
      </w:r>
    </w:p>
    <w:p w14:paraId="6B15DF96" w14:textId="77777777" w:rsidR="001C18AE" w:rsidRPr="001C18AE" w:rsidRDefault="001C18AE" w:rsidP="001C18AE">
      <w:pPr>
        <w:pStyle w:val="Heading1"/>
        <w:numPr>
          <w:ilvl w:val="0"/>
          <w:numId w:val="7"/>
        </w:numPr>
        <w:ind w:left="426"/>
        <w:rPr>
          <w:rFonts w:ascii="Calibri" w:hAnsi="Calibri"/>
          <w:caps/>
          <w:smallCaps w:val="0"/>
          <w:lang w:val="el-GR"/>
        </w:rPr>
      </w:pPr>
      <w:bookmarkStart w:id="40" w:name="_Toc483572196"/>
      <w:r w:rsidRPr="006D68CC">
        <w:rPr>
          <w:rFonts w:ascii="Calibri" w:hAnsi="Calibri"/>
          <w:caps/>
          <w:smallCaps w:val="0"/>
          <w:lang w:val="el-GR"/>
        </w:rPr>
        <w:lastRenderedPageBreak/>
        <w:t>Ο ρόλος των εταίρων που αναφέρονται στο άρθρο 5 του κανονισμού (ΕΕ) αριθ. 1303/2013 κατά την εφαρμογή τ</w:t>
      </w:r>
      <w:r>
        <w:rPr>
          <w:rFonts w:ascii="Calibri" w:hAnsi="Calibri"/>
          <w:caps/>
          <w:smallCaps w:val="0"/>
          <w:lang w:val="el-GR"/>
        </w:rPr>
        <w:t>ΗΣ</w:t>
      </w:r>
      <w:r w:rsidRPr="006D68CC">
        <w:rPr>
          <w:rFonts w:ascii="Calibri" w:hAnsi="Calibri"/>
          <w:caps/>
          <w:smallCaps w:val="0"/>
          <w:lang w:val="el-GR"/>
        </w:rPr>
        <w:t xml:space="preserve"> συμφών</w:t>
      </w:r>
      <w:r>
        <w:rPr>
          <w:rFonts w:ascii="Calibri" w:hAnsi="Calibri"/>
          <w:caps/>
          <w:smallCaps w:val="0"/>
          <w:lang w:val="el-GR"/>
        </w:rPr>
        <w:t>ΙΑΣ</w:t>
      </w:r>
      <w:r w:rsidRPr="006D68CC">
        <w:rPr>
          <w:rFonts w:ascii="Calibri" w:hAnsi="Calibri"/>
          <w:caps/>
          <w:smallCaps w:val="0"/>
          <w:lang w:val="el-GR"/>
        </w:rPr>
        <w:t xml:space="preserve"> εταιρικής σχέσης </w:t>
      </w:r>
      <w:r w:rsidRPr="001C18AE">
        <w:footnoteReference w:id="18"/>
      </w:r>
      <w:bookmarkEnd w:id="40"/>
    </w:p>
    <w:p w14:paraId="349ED9D3" w14:textId="77777777" w:rsidR="001C18AE" w:rsidRDefault="001C18AE" w:rsidP="001C18AE">
      <w:pPr>
        <w:spacing w:after="0" w:line="240" w:lineRule="auto"/>
        <w:jc w:val="both"/>
        <w:rPr>
          <w:b/>
          <w:i/>
          <w:lang w:val="el-GR"/>
        </w:rPr>
      </w:pPr>
    </w:p>
    <w:p w14:paraId="0477FD03" w14:textId="68CDA77A" w:rsidR="0081076F" w:rsidRPr="00AD5E13" w:rsidRDefault="0081076F" w:rsidP="001C18AE">
      <w:pPr>
        <w:spacing w:after="0" w:line="240" w:lineRule="auto"/>
        <w:jc w:val="both"/>
        <w:rPr>
          <w:b/>
          <w:i/>
          <w:lang w:val="el-GR"/>
        </w:rPr>
      </w:pPr>
      <w:r w:rsidRPr="00AD5E13">
        <w:rPr>
          <w:b/>
          <w:i/>
          <w:lang w:val="el-GR"/>
        </w:rPr>
        <w:t>α) Περιγραφή και αξιολόγηση του ρόλου των επιλεγμένων εταίρων στην κατάρτιση της έκθεσης προόδου, με αναφορά στ</w:t>
      </w:r>
      <w:r w:rsidR="00AD5E13">
        <w:rPr>
          <w:b/>
          <w:i/>
          <w:lang w:val="el-GR"/>
        </w:rPr>
        <w:t>η ΣΕΣ</w:t>
      </w:r>
      <w:r w:rsidRPr="00AD5E13">
        <w:rPr>
          <w:b/>
          <w:i/>
          <w:lang w:val="el-GR"/>
        </w:rPr>
        <w:t>.</w:t>
      </w:r>
    </w:p>
    <w:p w14:paraId="5D5ADC3C" w14:textId="77777777" w:rsidR="001C18AE" w:rsidRDefault="001C18AE" w:rsidP="001C18AE">
      <w:pPr>
        <w:spacing w:after="0" w:line="240" w:lineRule="auto"/>
        <w:jc w:val="both"/>
        <w:rPr>
          <w:lang w:val="el-GR"/>
        </w:rPr>
      </w:pPr>
    </w:p>
    <w:p w14:paraId="0A321111" w14:textId="65508713" w:rsidR="00686B8D" w:rsidRPr="00C804CF" w:rsidRDefault="00686B8D" w:rsidP="004037F3">
      <w:pPr>
        <w:jc w:val="both"/>
        <w:rPr>
          <w:lang w:val="el-GR"/>
        </w:rPr>
      </w:pPr>
      <w:r w:rsidRPr="00C804CF">
        <w:rPr>
          <w:lang w:val="el-GR"/>
        </w:rPr>
        <w:t xml:space="preserve">Θα </w:t>
      </w:r>
      <w:r w:rsidR="000B5D1C" w:rsidRPr="00C804CF">
        <w:rPr>
          <w:lang w:val="el-GR"/>
        </w:rPr>
        <w:t xml:space="preserve">συμπληρωθεί μετά την ολοκλήρωση της διαδικασίας  διαβούλευσης της παρούσας Έκθεσης </w:t>
      </w:r>
      <w:r w:rsidR="0030633E" w:rsidRPr="00C804CF">
        <w:rPr>
          <w:lang w:val="el-GR"/>
        </w:rPr>
        <w:t>με τους κοινωνικούς εταίρους</w:t>
      </w:r>
      <w:r w:rsidRPr="00C804CF">
        <w:rPr>
          <w:lang w:val="el-GR"/>
        </w:rPr>
        <w:t>.</w:t>
      </w:r>
    </w:p>
    <w:p w14:paraId="3DC57CC3" w14:textId="77777777" w:rsidR="0081076F" w:rsidRPr="0081076F" w:rsidRDefault="0081076F" w:rsidP="001C18AE">
      <w:pPr>
        <w:spacing w:after="0" w:line="240" w:lineRule="auto"/>
        <w:rPr>
          <w:lang w:val="el-GR"/>
        </w:rPr>
      </w:pPr>
    </w:p>
    <w:p w14:paraId="5C501889" w14:textId="77777777" w:rsidR="0081076F" w:rsidRPr="00AD5E13" w:rsidRDefault="0081076F" w:rsidP="001C18AE">
      <w:pPr>
        <w:spacing w:after="0" w:line="240" w:lineRule="auto"/>
        <w:jc w:val="both"/>
        <w:rPr>
          <w:b/>
          <w:i/>
          <w:lang w:val="el-GR"/>
        </w:rPr>
      </w:pPr>
      <w:r w:rsidRPr="00AD5E13">
        <w:rPr>
          <w:b/>
          <w:i/>
          <w:lang w:val="el-GR"/>
        </w:rPr>
        <w:t>β) Περιγραφή και αξιολόγηση της συμμετοχής των επιλεγμένων εταίρων στην εφαρμογή των προγραμμάτων, συμπεριλαμβανομένης της συμμετοχής στις επιτροπές παρακολούθησης των   προγραμμάτων.</w:t>
      </w:r>
    </w:p>
    <w:p w14:paraId="46451E0C" w14:textId="77777777" w:rsidR="001C18AE" w:rsidRDefault="001C18AE" w:rsidP="001C18AE">
      <w:pPr>
        <w:spacing w:after="0" w:line="240" w:lineRule="auto"/>
        <w:jc w:val="both"/>
        <w:rPr>
          <w:lang w:val="el-GR"/>
        </w:rPr>
      </w:pPr>
    </w:p>
    <w:p w14:paraId="07CA157E" w14:textId="77777777" w:rsidR="00686B8D" w:rsidRPr="00686B8D" w:rsidRDefault="00686B8D" w:rsidP="004037F3">
      <w:pPr>
        <w:jc w:val="both"/>
        <w:rPr>
          <w:rFonts w:cs="Calibri"/>
          <w:iCs/>
          <w:color w:val="000000"/>
          <w:lang w:val="el-GR"/>
        </w:rPr>
      </w:pPr>
      <w:r w:rsidRPr="00686B8D">
        <w:rPr>
          <w:rFonts w:cs="Calibri"/>
          <w:iCs/>
          <w:color w:val="000000"/>
          <w:lang w:val="el-GR"/>
        </w:rPr>
        <w:t>Το συντονισμό της εταιρικής σχέσης έχει αναλάβει η ΓΔ ΕΠΣΑ, ως Εθνική Αρχή Προγραμματισμού, ενώ για την εδραίωση της συνεργασίας και της διαρκούς διαβούλευσης με όλους τους εταίρους κρίθηκε σκόπιμη η σύσταση των ακόλουθων συλλογικών Επιτροπών:</w:t>
      </w:r>
    </w:p>
    <w:p w14:paraId="6EA72E74" w14:textId="77777777" w:rsidR="00686B8D" w:rsidRPr="00686B8D" w:rsidRDefault="00686B8D" w:rsidP="004037F3">
      <w:pPr>
        <w:jc w:val="both"/>
        <w:rPr>
          <w:rFonts w:cs="Calibri"/>
          <w:iCs/>
          <w:color w:val="000000"/>
          <w:lang w:val="el-GR"/>
        </w:rPr>
      </w:pPr>
      <w:r w:rsidRPr="00686B8D">
        <w:rPr>
          <w:rFonts w:cs="Calibri"/>
          <w:b/>
          <w:iCs/>
          <w:color w:val="000000"/>
          <w:lang w:val="el-GR"/>
        </w:rPr>
        <w:t>(α) Συντονιστική Επιτροπή Σχεδιασμού και Στρατηγικής Παρακολούθησης</w:t>
      </w:r>
      <w:r w:rsidRPr="00686B8D">
        <w:rPr>
          <w:rFonts w:cs="Calibri"/>
          <w:iCs/>
          <w:color w:val="000000"/>
          <w:lang w:val="el-GR"/>
        </w:rPr>
        <w:t xml:space="preserve">, αρμοδιότητα της οποίας είναι ο συντονισμός της αποτελεσματικής διεκπεραίωσης της διαδικασίας ετοιμασίας των Προγραμματικών Εγγράφων της περιόδου 2014-2020 και η στρατηγική παρακολούθηση της πορείας υλοποίησής  τους. Η Επιτροπή διασφαλίζει το συντονισμό και με άλλα προγράμματα της ΕΕ, καθώς και με εθνικές πολιτικές και προωθεί σχετικές εισηγήσεις, όπου κρίνεται αναγκαίο, για τη λήψη αποφάσεων πολιτικής, οι οποίες προωθούνται στο Υπουργικό Συμβούλιο για έγκριση. </w:t>
      </w:r>
    </w:p>
    <w:p w14:paraId="1EAE1460" w14:textId="2E9B7043" w:rsidR="00686B8D" w:rsidRPr="00686B8D" w:rsidRDefault="00686B8D" w:rsidP="004037F3">
      <w:pPr>
        <w:jc w:val="both"/>
        <w:rPr>
          <w:rFonts w:cs="Calibri"/>
          <w:iCs/>
          <w:color w:val="000000"/>
          <w:lang w:val="el-GR"/>
        </w:rPr>
      </w:pPr>
      <w:r w:rsidRPr="00686B8D">
        <w:rPr>
          <w:rFonts w:cs="Calibri"/>
          <w:b/>
          <w:iCs/>
          <w:color w:val="000000"/>
          <w:lang w:val="el-GR"/>
        </w:rPr>
        <w:t>(β) Συμβουλευτική Επιτροπή Σχεδιασμού και Στρατηγικής Παρακολούθησης</w:t>
      </w:r>
      <w:r w:rsidRPr="00686B8D">
        <w:rPr>
          <w:rFonts w:cs="Calibri"/>
          <w:iCs/>
          <w:color w:val="000000"/>
          <w:lang w:val="el-GR"/>
        </w:rPr>
        <w:t xml:space="preserve">, στην οποία συμμετέχουν τα μέλη της Συντονιστικής Επιτροπής καθώς και όλοι οι εμπλεκόμενοι φορείς, περιλαμβανομένων των οργανισμών που εκπροσωπούν τις Αρχές Τοπικής Αυτοδιοίκησης, των θεσμικών οικονομικών και κοινωνικών εταίρων και Μη Κυβερνητικών Οργανώσεων. Ο ρόλος της Επιτροπής αυτής είναι καθαρά συμβουλευτικός και αρμοδιότητά της είναι να εκφράζει απόψεις ως προς το περιεχόμενο των προγραμματικών εγγράφων, καθώς και για ενδεχόμενες τροποποιήσεις της Συμφωνίας Εταιρικής Σχέσης ή/και των </w:t>
      </w:r>
      <w:r w:rsidR="00945D13">
        <w:rPr>
          <w:rFonts w:cs="Calibri"/>
          <w:iCs/>
          <w:color w:val="000000"/>
          <w:lang w:val="el-GR"/>
        </w:rPr>
        <w:t xml:space="preserve">Επιχειρησιακών </w:t>
      </w:r>
      <w:r w:rsidRPr="00686B8D">
        <w:rPr>
          <w:rFonts w:cs="Calibri"/>
          <w:iCs/>
          <w:color w:val="000000"/>
          <w:lang w:val="el-GR"/>
        </w:rPr>
        <w:t>Προγραμμάτων.</w:t>
      </w:r>
    </w:p>
    <w:p w14:paraId="175060A6" w14:textId="77777777" w:rsidR="00686B8D" w:rsidRPr="00686B8D" w:rsidRDefault="00686B8D" w:rsidP="004037F3">
      <w:pPr>
        <w:jc w:val="both"/>
        <w:rPr>
          <w:rFonts w:cs="Calibri"/>
          <w:b/>
          <w:iCs/>
          <w:color w:val="000000"/>
          <w:lang w:val="el-GR"/>
        </w:rPr>
      </w:pPr>
      <w:r w:rsidRPr="00686B8D">
        <w:rPr>
          <w:rFonts w:cs="Calibri"/>
          <w:iCs/>
          <w:color w:val="000000"/>
          <w:lang w:val="el-GR"/>
        </w:rPr>
        <w:t xml:space="preserve">(γ) Η αρχή της εταιρικότητας διασφαλίζεται, επιπλέον, από τη </w:t>
      </w:r>
      <w:r w:rsidRPr="00945D13">
        <w:rPr>
          <w:rFonts w:cs="Calibri"/>
          <w:b/>
          <w:iCs/>
          <w:color w:val="000000"/>
          <w:lang w:val="el-GR"/>
        </w:rPr>
        <w:t>συμμετοχή των εταίρων ως μέλη</w:t>
      </w:r>
      <w:r w:rsidRPr="00686B8D">
        <w:rPr>
          <w:rFonts w:cs="Calibri"/>
          <w:iCs/>
          <w:color w:val="000000"/>
          <w:lang w:val="el-GR"/>
        </w:rPr>
        <w:t xml:space="preserve"> </w:t>
      </w:r>
      <w:r w:rsidRPr="00686B8D">
        <w:rPr>
          <w:rFonts w:cs="Calibri"/>
          <w:b/>
          <w:iCs/>
          <w:color w:val="000000"/>
          <w:lang w:val="el-GR"/>
        </w:rPr>
        <w:t xml:space="preserve">στις Επιτροπές Παρακολούθησης των </w:t>
      </w:r>
      <w:r w:rsidR="003A1687">
        <w:rPr>
          <w:rFonts w:cs="Calibri"/>
          <w:b/>
          <w:iCs/>
          <w:color w:val="000000"/>
          <w:lang w:val="el-GR"/>
        </w:rPr>
        <w:t xml:space="preserve">τεσσάρων Επιχειρησιακών </w:t>
      </w:r>
      <w:r w:rsidRPr="00686B8D">
        <w:rPr>
          <w:rFonts w:cs="Calibri"/>
          <w:b/>
          <w:iCs/>
          <w:color w:val="000000"/>
          <w:lang w:val="el-GR"/>
        </w:rPr>
        <w:t xml:space="preserve">Προγραμμάτων. </w:t>
      </w:r>
      <w:r w:rsidRPr="00686B8D">
        <w:rPr>
          <w:rFonts w:cs="Calibri"/>
          <w:iCs/>
          <w:color w:val="000000"/>
          <w:lang w:val="el-GR"/>
        </w:rPr>
        <w:t>Σύμφωνα με το Άρθρο 5 του Καν.(ΕΕ) 1303/2013, διακρίνονται</w:t>
      </w:r>
      <w:r w:rsidRPr="00686B8D">
        <w:rPr>
          <w:rFonts w:cs="Calibri"/>
          <w:b/>
          <w:iCs/>
          <w:color w:val="000000"/>
          <w:lang w:val="el-GR"/>
        </w:rPr>
        <w:t xml:space="preserve"> </w:t>
      </w:r>
      <w:r w:rsidRPr="00945D13">
        <w:rPr>
          <w:rFonts w:cs="Calibri"/>
          <w:iCs/>
          <w:color w:val="000000"/>
          <w:lang w:val="el-GR"/>
        </w:rPr>
        <w:t>τρεις κατηγορίες εταίρων:</w:t>
      </w:r>
      <w:r w:rsidRPr="00686B8D">
        <w:rPr>
          <w:rFonts w:cs="Calibri"/>
          <w:b/>
          <w:iCs/>
          <w:color w:val="000000"/>
          <w:lang w:val="el-GR"/>
        </w:rPr>
        <w:t xml:space="preserve"> </w:t>
      </w:r>
    </w:p>
    <w:p w14:paraId="01987582" w14:textId="77777777" w:rsidR="00686B8D" w:rsidRPr="00686B8D" w:rsidRDefault="00686B8D" w:rsidP="004037F3">
      <w:pPr>
        <w:numPr>
          <w:ilvl w:val="0"/>
          <w:numId w:val="38"/>
        </w:numPr>
        <w:ind w:left="630"/>
        <w:jc w:val="both"/>
        <w:rPr>
          <w:rFonts w:cs="Calibri"/>
          <w:iCs/>
          <w:color w:val="000000"/>
          <w:lang w:val="el-GR"/>
        </w:rPr>
      </w:pPr>
      <w:r w:rsidRPr="00686B8D">
        <w:rPr>
          <w:rFonts w:cs="Calibri"/>
          <w:iCs/>
          <w:color w:val="000000"/>
          <w:lang w:val="el-GR"/>
        </w:rPr>
        <w:t>Υπουργεία/Υπηρεσίες, Ημικρατικοί Οργανισμοί, Αρχές Τοπικής αυτοδιοίκησης</w:t>
      </w:r>
    </w:p>
    <w:p w14:paraId="0F466ADD" w14:textId="2EA98087" w:rsidR="00B551FF" w:rsidRPr="00B551FF" w:rsidRDefault="00686B8D" w:rsidP="004037F3">
      <w:pPr>
        <w:numPr>
          <w:ilvl w:val="0"/>
          <w:numId w:val="38"/>
        </w:numPr>
        <w:ind w:left="630"/>
        <w:jc w:val="both"/>
        <w:rPr>
          <w:rFonts w:cs="Calibri"/>
          <w:iCs/>
          <w:color w:val="000000"/>
          <w:lang w:val="el-GR"/>
        </w:rPr>
      </w:pPr>
      <w:r w:rsidRPr="00B551FF">
        <w:rPr>
          <w:rFonts w:cs="Calibri"/>
          <w:iCs/>
          <w:color w:val="000000"/>
          <w:lang w:val="el-GR"/>
        </w:rPr>
        <w:t>Οικονομικοί και Κοινωνικοί Εταίροι</w:t>
      </w:r>
    </w:p>
    <w:p w14:paraId="568DA064" w14:textId="77777777" w:rsidR="00686B8D" w:rsidRPr="00686B8D" w:rsidRDefault="0048435F" w:rsidP="004037F3">
      <w:pPr>
        <w:numPr>
          <w:ilvl w:val="0"/>
          <w:numId w:val="38"/>
        </w:numPr>
        <w:ind w:left="630"/>
        <w:jc w:val="both"/>
        <w:rPr>
          <w:rFonts w:cs="Calibri"/>
          <w:iCs/>
          <w:color w:val="000000"/>
          <w:lang w:val="el-GR"/>
        </w:rPr>
      </w:pPr>
      <w:r>
        <w:rPr>
          <w:rFonts w:cs="Calibri"/>
          <w:iCs/>
          <w:color w:val="000000"/>
          <w:lang w:val="el-GR"/>
        </w:rPr>
        <w:t>Μη</w:t>
      </w:r>
      <w:r w:rsidR="00686B8D" w:rsidRPr="00686B8D">
        <w:rPr>
          <w:rFonts w:cs="Calibri"/>
          <w:iCs/>
          <w:color w:val="000000"/>
          <w:lang w:val="el-GR"/>
        </w:rPr>
        <w:t xml:space="preserve"> Κυβερνητικές Οργανώσεις / Ιδρύματα, Περιβαλλοντικές Οργανώσεις κλπ.</w:t>
      </w:r>
    </w:p>
    <w:p w14:paraId="124EFEA3" w14:textId="1B93AB5F" w:rsidR="00686B8D" w:rsidRPr="00686B8D" w:rsidRDefault="00686B8D" w:rsidP="004037F3">
      <w:pPr>
        <w:jc w:val="both"/>
        <w:rPr>
          <w:rFonts w:cs="Calibri"/>
          <w:lang w:val="el-GR"/>
        </w:rPr>
      </w:pPr>
      <w:r w:rsidRPr="00686B8D">
        <w:rPr>
          <w:rFonts w:cs="Calibri"/>
          <w:iCs/>
          <w:color w:val="000000"/>
          <w:lang w:val="el-GR"/>
        </w:rPr>
        <w:lastRenderedPageBreak/>
        <w:t>Στην</w:t>
      </w:r>
      <w:r w:rsidRPr="00686B8D">
        <w:rPr>
          <w:rFonts w:cs="Calibri"/>
          <w:lang w:val="el-GR"/>
        </w:rPr>
        <w:t xml:space="preserve"> περίπτωση των </w:t>
      </w:r>
      <w:r w:rsidRPr="003A1687">
        <w:rPr>
          <w:rFonts w:cs="Calibri"/>
          <w:lang w:val="el-GR"/>
        </w:rPr>
        <w:t>ΕΠ «Ανταγωνιστικότητα και Αειφόρος Ανάπτυξη» και «</w:t>
      </w:r>
      <w:bookmarkStart w:id="41" w:name="_Hlk489547819"/>
      <w:r w:rsidRPr="003A1687">
        <w:rPr>
          <w:rFonts w:cs="Calibri"/>
          <w:lang w:val="el-GR"/>
        </w:rPr>
        <w:t>Απασχόληση, Ανθρώπινοι Πόροι και Κοινωνική Συνοχή</w:t>
      </w:r>
      <w:bookmarkEnd w:id="41"/>
      <w:r w:rsidRPr="003A1687">
        <w:rPr>
          <w:rFonts w:cs="Calibri"/>
          <w:lang w:val="el-GR"/>
        </w:rPr>
        <w:t>», η Επιτροπή Παρακολούθησης είναι κοινή</w:t>
      </w:r>
      <w:r w:rsidRPr="00686B8D">
        <w:rPr>
          <w:rFonts w:cs="Calibri"/>
          <w:lang w:val="el-GR"/>
        </w:rPr>
        <w:t xml:space="preserve">. Η σύσταση της Επιτροπής Παρακολούθησης εγκρίθηκε με την υπ’ αριθμό 78.483 Απόφαση του Υπουργικού Συμβουλίου ημερομηνίας 11/3/2015, ενώ τα καθήκοντα και ο τρόπος λειτουργίας της Επιτροπής καθορίζεται στον Εσωτερικό της Κανονισμό. Στον καθορισμό της σύνθεσης της Επιτροπής Παρακολούθησης λήφθηκε υπόψη ο </w:t>
      </w:r>
      <w:r w:rsidR="0030633E">
        <w:rPr>
          <w:rFonts w:cs="Calibri"/>
          <w:lang w:val="el-GR"/>
        </w:rPr>
        <w:t>κ</w:t>
      </w:r>
      <w:r w:rsidRPr="00686B8D">
        <w:rPr>
          <w:rFonts w:cs="Calibri"/>
          <w:lang w:val="el-GR"/>
        </w:rPr>
        <w:t xml:space="preserve">ατ’ εξουσιοδότηση Κανονισμός (ΕΕ) αριθμ. 240/2014 για τον ευρωπαϊκό κώδικα δεοντολογίας για την εταιρική σχέση, καθώς και το θεσμικό πλαίσιο της Κυπριακής Δημοκρατίας. </w:t>
      </w:r>
    </w:p>
    <w:p w14:paraId="7B8B72AD" w14:textId="0B221955" w:rsidR="00686B8D" w:rsidRPr="00686B8D" w:rsidRDefault="00686B8D" w:rsidP="004037F3">
      <w:pPr>
        <w:jc w:val="both"/>
        <w:rPr>
          <w:rFonts w:cs="Calibri"/>
          <w:lang w:val="el-GR"/>
        </w:rPr>
      </w:pPr>
      <w:r w:rsidRPr="00686B8D">
        <w:rPr>
          <w:rFonts w:cs="Calibri"/>
          <w:lang w:val="el-GR"/>
        </w:rPr>
        <w:t>Για την εξυπηρέτηση της εταιρικής σχέσης στην Επιτροπή συμμετέχουν, με δικαίωμα ψήφου, Υπουργεία και άλλες αρμόδιες Υπηρεσίες του δημόσιου και ευρύτερου δημόσιου τομέα</w:t>
      </w:r>
      <w:r w:rsidR="00945D13">
        <w:rPr>
          <w:rFonts w:cs="Calibri"/>
          <w:lang w:val="el-GR"/>
        </w:rPr>
        <w:t>,</w:t>
      </w:r>
      <w:r w:rsidRPr="00686B8D">
        <w:rPr>
          <w:rFonts w:cs="Calibri"/>
          <w:lang w:val="el-GR"/>
        </w:rPr>
        <w:t xml:space="preserve"> όπως Δημόσιες Αρχές (π.χ. Εθνικός Μηχανισμός για τα Δικαιώματα της Γυναίκας, Γραφείο Επιτρόπου Περιβάλλοντος κ.α.), οι Ενώσεις Δήμων και Κοινοτήτων Κύπρου, η Σύνοδος των Πρυτάνεων ως εκπρόσωποι των Ανώτατων Εκπαιδευτικών Ιδρυμάτων, οργανώσεις που εκπροσωπούν τους οικονομικούς και κοινωνικούς εταίρους (π.χ. Κυπριακό Εμπορικό και Βιομηχανικό Επιμελητήριο, Παγκύπρια Εργατική Ομοσπονδία κ.α.) και την Κοινωνία των Πολιτών (π.χ. Ομοσπονδία Περιβαλλοντικών και Οικολογικών Οργανώσεων, Παγκύπρια Ένωση Καταναλωτών και Ποιότητας Ζωής κ.α.), μη κυβερνητικές οργανώσεις και φορείς που προωθούν την κοινωνική ένταξη, την ισότητα των φύλων και την εξάλειψη των διακρίσεων και ημικρατικοί οργανισμοί (η Αρχή Ανάπτυξης Ανθρώπινου Δυναμικού και ο Οργανισμός Νεολαίας Κύπρου). Κατά τις συνεδρίες της Επιτροπής δύναται να καλούνται να συμμετέχουν, ανάλογα με τα θέματα της ημερήσιας διάταξης, ειδικοί επιστήμονες, εμπειρογνώμονες και άλλοι, ως παρατηρητές χωρίς δικαίωμα ψήφου.</w:t>
      </w:r>
    </w:p>
    <w:p w14:paraId="2FBB5148" w14:textId="24BB9275" w:rsidR="00686B8D" w:rsidRPr="00686B8D" w:rsidRDefault="00686B8D" w:rsidP="004037F3">
      <w:pPr>
        <w:jc w:val="both"/>
        <w:rPr>
          <w:rFonts w:cs="Calibri"/>
          <w:lang w:val="el-GR"/>
        </w:rPr>
      </w:pPr>
      <w:r w:rsidRPr="00686B8D">
        <w:rPr>
          <w:rFonts w:cs="Calibri"/>
          <w:lang w:val="el-GR"/>
        </w:rPr>
        <w:t xml:space="preserve">Στο πλαίσιο των δραστηριοτήτων </w:t>
      </w:r>
      <w:r w:rsidR="00945D13">
        <w:rPr>
          <w:rFonts w:cs="Calibri"/>
          <w:lang w:val="el-GR"/>
        </w:rPr>
        <w:t>της μέχρι τις 31/12/16</w:t>
      </w:r>
      <w:r w:rsidRPr="00686B8D">
        <w:rPr>
          <w:rFonts w:cs="Calibri"/>
          <w:lang w:val="el-GR"/>
        </w:rPr>
        <w:t xml:space="preserve">, η Επιτροπή Παρακολούθησης ενέκρινε </w:t>
      </w:r>
      <w:r w:rsidR="0030633E">
        <w:rPr>
          <w:rFonts w:cs="Calibri"/>
          <w:lang w:val="el-GR"/>
        </w:rPr>
        <w:t xml:space="preserve">τις </w:t>
      </w:r>
      <w:r w:rsidRPr="00686B8D">
        <w:rPr>
          <w:rFonts w:cs="Calibri"/>
          <w:lang w:val="el-GR"/>
        </w:rPr>
        <w:t xml:space="preserve">δύο τροποποιήσεις </w:t>
      </w:r>
      <w:r w:rsidR="0030633E">
        <w:rPr>
          <w:rFonts w:cs="Calibri"/>
          <w:lang w:val="el-GR"/>
        </w:rPr>
        <w:t>των</w:t>
      </w:r>
      <w:r w:rsidR="0030633E" w:rsidRPr="00686B8D">
        <w:rPr>
          <w:rFonts w:cs="Calibri"/>
          <w:lang w:val="el-GR"/>
        </w:rPr>
        <w:t xml:space="preserve"> </w:t>
      </w:r>
      <w:r w:rsidRPr="00686B8D">
        <w:rPr>
          <w:rFonts w:cs="Calibri"/>
          <w:lang w:val="el-GR"/>
        </w:rPr>
        <w:t xml:space="preserve">ΕΠ, </w:t>
      </w:r>
      <w:r w:rsidR="0030633E">
        <w:rPr>
          <w:rFonts w:cs="Calibri"/>
          <w:lang w:val="el-GR"/>
        </w:rPr>
        <w:t>τις</w:t>
      </w:r>
      <w:r w:rsidR="0030633E" w:rsidRPr="00686B8D">
        <w:rPr>
          <w:rFonts w:cs="Calibri"/>
          <w:lang w:val="el-GR"/>
        </w:rPr>
        <w:t xml:space="preserve"> </w:t>
      </w:r>
      <w:r w:rsidRPr="00686B8D">
        <w:rPr>
          <w:rFonts w:cs="Calibri"/>
          <w:lang w:val="el-GR"/>
        </w:rPr>
        <w:t>Ετήσι</w:t>
      </w:r>
      <w:r w:rsidR="0030633E">
        <w:rPr>
          <w:rFonts w:cs="Calibri"/>
          <w:lang w:val="el-GR"/>
        </w:rPr>
        <w:t>ες</w:t>
      </w:r>
      <w:r w:rsidRPr="00686B8D">
        <w:rPr>
          <w:rFonts w:cs="Calibri"/>
          <w:lang w:val="el-GR"/>
        </w:rPr>
        <w:t xml:space="preserve"> </w:t>
      </w:r>
      <w:r w:rsidR="0030633E">
        <w:rPr>
          <w:rFonts w:cs="Calibri"/>
          <w:lang w:val="el-GR"/>
        </w:rPr>
        <w:t>Εκθέσεις</w:t>
      </w:r>
      <w:r w:rsidR="0030633E" w:rsidRPr="00686B8D">
        <w:rPr>
          <w:rFonts w:cs="Calibri"/>
          <w:lang w:val="el-GR"/>
        </w:rPr>
        <w:t xml:space="preserve"> </w:t>
      </w:r>
      <w:r w:rsidRPr="00686B8D">
        <w:rPr>
          <w:rFonts w:cs="Calibri"/>
          <w:lang w:val="el-GR"/>
        </w:rPr>
        <w:t xml:space="preserve">Υλοποίησης </w:t>
      </w:r>
      <w:r w:rsidR="0030633E">
        <w:rPr>
          <w:rFonts w:cs="Calibri"/>
          <w:lang w:val="el-GR"/>
        </w:rPr>
        <w:t>των</w:t>
      </w:r>
      <w:r w:rsidR="0030633E" w:rsidRPr="00686B8D">
        <w:rPr>
          <w:rFonts w:cs="Calibri"/>
          <w:lang w:val="el-GR"/>
        </w:rPr>
        <w:t xml:space="preserve"> </w:t>
      </w:r>
      <w:r w:rsidRPr="00686B8D">
        <w:rPr>
          <w:rFonts w:cs="Calibri"/>
          <w:lang w:val="el-GR"/>
        </w:rPr>
        <w:t xml:space="preserve">ΕΠ «Ανταγωνιστικότητα και Αειφόρος Ανάπτυξη» </w:t>
      </w:r>
      <w:r w:rsidR="0030633E">
        <w:rPr>
          <w:rFonts w:cs="Calibri"/>
          <w:lang w:val="el-GR"/>
        </w:rPr>
        <w:t>και «</w:t>
      </w:r>
      <w:r w:rsidR="0030633E" w:rsidRPr="0030633E">
        <w:rPr>
          <w:rFonts w:cs="Calibri"/>
          <w:lang w:val="el-GR"/>
        </w:rPr>
        <w:t>Απασχόληση, Ανθρώπινοι Πόροι και Κοινωνική Συνοχή</w:t>
      </w:r>
      <w:r w:rsidR="0030633E">
        <w:rPr>
          <w:rFonts w:cs="Calibri"/>
          <w:lang w:val="el-GR"/>
        </w:rPr>
        <w:t xml:space="preserve">» </w:t>
      </w:r>
      <w:r w:rsidRPr="00686B8D">
        <w:rPr>
          <w:rFonts w:cs="Calibri"/>
          <w:lang w:val="el-GR"/>
        </w:rPr>
        <w:t xml:space="preserve">για την περίοδο 2014-2015, τα Κριτήρια Αξιολόγησης Πράξεων και τα Ειδικά Κριτήρια Επιλογής για όλες τις επενδυτικές προτεραιότητες </w:t>
      </w:r>
      <w:r w:rsidR="0030633E">
        <w:rPr>
          <w:rFonts w:cs="Calibri"/>
          <w:lang w:val="el-GR"/>
        </w:rPr>
        <w:t>των</w:t>
      </w:r>
      <w:r w:rsidR="0030633E" w:rsidRPr="00686B8D">
        <w:rPr>
          <w:rFonts w:cs="Calibri"/>
          <w:lang w:val="el-GR"/>
        </w:rPr>
        <w:t xml:space="preserve"> </w:t>
      </w:r>
      <w:r w:rsidRPr="00686B8D">
        <w:rPr>
          <w:rFonts w:cs="Calibri"/>
          <w:lang w:val="el-GR"/>
        </w:rPr>
        <w:t xml:space="preserve">ΕΠ, καθώς και τη Στρατηγική Επικοινωνίας, το Σχέδιο Αξιολόγησης και το Σχέδιο Δράσης Τεχνικής Βοήθειας </w:t>
      </w:r>
      <w:r w:rsidR="0030633E">
        <w:rPr>
          <w:rFonts w:cs="Calibri"/>
          <w:lang w:val="el-GR"/>
        </w:rPr>
        <w:t>των</w:t>
      </w:r>
      <w:r w:rsidR="0030633E" w:rsidRPr="00686B8D">
        <w:rPr>
          <w:rFonts w:cs="Calibri"/>
          <w:lang w:val="el-GR"/>
        </w:rPr>
        <w:t xml:space="preserve"> </w:t>
      </w:r>
      <w:r w:rsidRPr="00686B8D">
        <w:rPr>
          <w:rFonts w:cs="Calibri"/>
          <w:lang w:val="el-GR"/>
        </w:rPr>
        <w:t>ΕΠ.</w:t>
      </w:r>
    </w:p>
    <w:p w14:paraId="402A0981" w14:textId="77777777" w:rsidR="00686B8D" w:rsidRPr="00686B8D" w:rsidRDefault="00686B8D" w:rsidP="004037F3">
      <w:pPr>
        <w:jc w:val="both"/>
        <w:rPr>
          <w:rFonts w:cs="Calibri"/>
          <w:lang w:val="el-GR"/>
        </w:rPr>
      </w:pPr>
      <w:r w:rsidRPr="00686B8D">
        <w:rPr>
          <w:rFonts w:cs="Calibri"/>
          <w:lang w:val="el-GR"/>
        </w:rPr>
        <w:t xml:space="preserve">Όσον αφορά </w:t>
      </w:r>
      <w:r w:rsidRPr="00945D13">
        <w:rPr>
          <w:rFonts w:cs="Calibri"/>
          <w:lang w:val="el-GR"/>
        </w:rPr>
        <w:t>στο ΕΠ «Ανταγωνιστικότητα και Αειφόρος Ανάπτυξη»</w:t>
      </w:r>
      <w:r w:rsidR="00945D13">
        <w:rPr>
          <w:rFonts w:cs="Calibri"/>
          <w:lang w:val="el-GR"/>
        </w:rPr>
        <w:t>,</w:t>
      </w:r>
      <w:r w:rsidRPr="00686B8D">
        <w:rPr>
          <w:rFonts w:cs="Calibri"/>
          <w:lang w:val="el-GR"/>
        </w:rPr>
        <w:t xml:space="preserve"> πέραν της Επιτροπής Παρακολούθησης, οι διάφοροι εταίροι συμμετέχουν στις διαδικασίες δημόσιας διαβούλευσης που λαμβάνουν χώρα πριν τον καταρτισμό Σχεδίων Χορηγιών (π.χ. ΣΧ Επ. Πρ. 3α), Προγραμμάτων (π.χ. Ερευνητικά Προγράμματα RESTART 2016-2020), και άλλων παρεμβάσεων που συγχρηματοδοτούνται μέσω του ΕΠ, καθώς και στις διαβουλεύσεις που λαμβάνουν χώρα για τον καταρτισμό Τομεακών Στρατηγικών (π.χ. Στρατηγική Έξυπνης Εξειδίκευσης) και Νομοθετημάτων (π.χ. Τιμολογιακή Πολιτική Υδάτων) που επηρεάζουν άμεσα ή έμμεσα την εφαρμογή του ΕΠ. Ειδικά αναφέρεται ότι, για τη διαμόρφωση των Στρατηγικών Ολοκληρωμένης Βιώσιμης Αστικής Ανάπτυξης στο πλαίσιο υλοποίησης του Άξονα 6 του ΕΠ, οι Αρχές Τοπικής Αυτοδιοίκησης </w:t>
      </w:r>
      <w:r w:rsidR="0048435F">
        <w:rPr>
          <w:rFonts w:cs="Calibri"/>
          <w:lang w:val="el-GR"/>
        </w:rPr>
        <w:t>προχώρησαν</w:t>
      </w:r>
      <w:r w:rsidRPr="00686B8D">
        <w:rPr>
          <w:rFonts w:cs="Calibri"/>
          <w:lang w:val="el-GR"/>
        </w:rPr>
        <w:t xml:space="preserve"> σε </w:t>
      </w:r>
      <w:r w:rsidR="0048435F">
        <w:rPr>
          <w:rFonts w:cs="Calibri"/>
          <w:lang w:val="el-GR"/>
        </w:rPr>
        <w:t xml:space="preserve">διαδικασίες </w:t>
      </w:r>
      <w:r w:rsidRPr="00686B8D">
        <w:rPr>
          <w:rFonts w:cs="Calibri"/>
          <w:lang w:val="el-GR"/>
        </w:rPr>
        <w:t>διαβούλευση</w:t>
      </w:r>
      <w:r w:rsidR="0048435F">
        <w:rPr>
          <w:rFonts w:cs="Calibri"/>
          <w:lang w:val="el-GR"/>
        </w:rPr>
        <w:t>ς</w:t>
      </w:r>
      <w:r w:rsidRPr="00686B8D">
        <w:rPr>
          <w:rFonts w:cs="Calibri"/>
          <w:lang w:val="el-GR"/>
        </w:rPr>
        <w:t xml:space="preserve"> με </w:t>
      </w:r>
      <w:r w:rsidR="0048435F">
        <w:rPr>
          <w:rFonts w:cs="Calibri"/>
          <w:lang w:val="el-GR"/>
        </w:rPr>
        <w:t xml:space="preserve">τους </w:t>
      </w:r>
      <w:r w:rsidRPr="00686B8D">
        <w:rPr>
          <w:rFonts w:cs="Calibri"/>
          <w:lang w:val="el-GR"/>
        </w:rPr>
        <w:t>τοπικούς κοινωνικούς και οικονομικούς εταίρους, την τοπική κοινωνία, εκπροσώπους της τοπικής επιχειρηματικής κοινότητας και άλλους εμπλεκόμενους/επηρεαζόμενους φορείς.</w:t>
      </w:r>
    </w:p>
    <w:p w14:paraId="27BB653E" w14:textId="11786DDE" w:rsidR="00686B8D" w:rsidRPr="00686B8D" w:rsidRDefault="00686B8D" w:rsidP="004037F3">
      <w:pPr>
        <w:jc w:val="both"/>
        <w:rPr>
          <w:lang w:val="el-GR"/>
        </w:rPr>
      </w:pPr>
      <w:r w:rsidRPr="00686B8D">
        <w:rPr>
          <w:rFonts w:cs="Calibri"/>
          <w:lang w:val="el-GR"/>
        </w:rPr>
        <w:t xml:space="preserve">Επίσης, σε ότι αφορά το </w:t>
      </w:r>
      <w:r w:rsidRPr="00945D13">
        <w:rPr>
          <w:rFonts w:cs="Calibri"/>
          <w:lang w:val="el-GR"/>
        </w:rPr>
        <w:t>ΕΠ</w:t>
      </w:r>
      <w:r w:rsidRPr="00945D13">
        <w:rPr>
          <w:rFonts w:eastAsia="TimesNewRomanPSMT" w:cs="Calibri"/>
          <w:lang w:val="el-GR"/>
        </w:rPr>
        <w:t xml:space="preserve"> «Απασχόληση, Ανθρώπινοι Πόροι και Κοινωνική Συνοχή»,</w:t>
      </w:r>
      <w:r w:rsidRPr="00686B8D">
        <w:rPr>
          <w:rFonts w:cs="Calibri"/>
          <w:lang w:val="el-GR"/>
        </w:rPr>
        <w:t xml:space="preserve"> κοινωνικοί εταίροι εμπλέκονται και στην υλοποίηση έργων που άρχισαν να υλοποιούνται στα πλαίσια των </w:t>
      </w:r>
      <w:r w:rsidR="00945D13">
        <w:rPr>
          <w:rFonts w:cs="Calibri"/>
          <w:lang w:val="el-GR"/>
        </w:rPr>
        <w:t>Αξόνων</w:t>
      </w:r>
      <w:r w:rsidRPr="00686B8D">
        <w:rPr>
          <w:rFonts w:cs="Calibri"/>
          <w:lang w:val="el-GR"/>
        </w:rPr>
        <w:t xml:space="preserve"> 1 και 4 κάτω από τους Θεματικούς Στόχους 8 </w:t>
      </w:r>
      <w:r w:rsidR="00945D13">
        <w:rPr>
          <w:rFonts w:cs="Calibri"/>
          <w:lang w:val="el-GR"/>
        </w:rPr>
        <w:t>και</w:t>
      </w:r>
      <w:r w:rsidRPr="00686B8D">
        <w:rPr>
          <w:rFonts w:cs="Calibri"/>
          <w:lang w:val="el-GR"/>
        </w:rPr>
        <w:t xml:space="preserve"> 10. Πρόκειται για το έργο «Υγιείς Εργασιακές Σχέσεις, Σύγχρονες Επιχειρήσεις» που υλοποιείται από την Ομοσπονδία Εργοδοτών και Βιομηχάνων, το έργο «Σύμπραξη με </w:t>
      </w:r>
      <w:r w:rsidRPr="00686B8D">
        <w:rPr>
          <w:rFonts w:cs="Calibri"/>
          <w:lang w:val="el-GR"/>
        </w:rPr>
        <w:lastRenderedPageBreak/>
        <w:t>Ιδιωτικά Γραφεία Εξευρέσεως Εργασίας για προώθηση της Απασχόλησης»  όπου συμμετέχουν συνδικαλιστικές οργανώσεις και το έργο «Γραφεία Διασύνδεσης Πανεπιστημίων με την αγορά εργασίας» με δικαιούχο το Πανεπιστήμιο Κύπρου.</w:t>
      </w:r>
    </w:p>
    <w:p w14:paraId="5B27CB05" w14:textId="51101C8B" w:rsidR="00686B8D" w:rsidRPr="00686B8D" w:rsidRDefault="00686B8D" w:rsidP="004037F3">
      <w:pPr>
        <w:jc w:val="both"/>
        <w:rPr>
          <w:rFonts w:cs="Calibri"/>
          <w:lang w:val="el-GR"/>
        </w:rPr>
      </w:pPr>
      <w:r w:rsidRPr="00686B8D">
        <w:rPr>
          <w:rFonts w:cs="Calibri"/>
          <w:lang w:val="el-GR"/>
        </w:rPr>
        <w:t xml:space="preserve">Για την </w:t>
      </w:r>
      <w:r w:rsidRPr="00686B8D">
        <w:rPr>
          <w:rFonts w:cs="Calibri"/>
          <w:b/>
          <w:lang w:val="el-GR"/>
        </w:rPr>
        <w:t>ενθάρρυνση της επαρκούς συμμετοχής των κοινωνικών και οικονομικών εταίρων σε</w:t>
      </w:r>
      <w:r w:rsidRPr="00686B8D">
        <w:rPr>
          <w:rFonts w:cs="Calibri"/>
          <w:lang w:val="el-GR"/>
        </w:rPr>
        <w:t xml:space="preserve"> </w:t>
      </w:r>
      <w:r w:rsidRPr="00686B8D">
        <w:rPr>
          <w:rFonts w:cs="Calibri"/>
          <w:b/>
          <w:lang w:val="el-GR"/>
        </w:rPr>
        <w:t xml:space="preserve">ενέργειες που στηρίζονται από το ΕΚΤ </w:t>
      </w:r>
      <w:r w:rsidRPr="00686B8D">
        <w:rPr>
          <w:rFonts w:cs="Calibri"/>
          <w:lang w:val="el-GR"/>
        </w:rPr>
        <w:t xml:space="preserve">και για την αποτελεσματικότερη εμπλοκή τους στη διαχείριση και παρακολούθηση συγχρηματοδοτούμενων Προγραμμάτων, </w:t>
      </w:r>
      <w:r w:rsidR="005F06EF">
        <w:rPr>
          <w:rFonts w:cs="Calibri"/>
          <w:lang w:val="el-GR"/>
        </w:rPr>
        <w:t xml:space="preserve">προβλέπεται να αναπτυχθούν </w:t>
      </w:r>
      <w:r w:rsidRPr="00686B8D">
        <w:rPr>
          <w:rFonts w:cs="Calibri"/>
          <w:lang w:val="el-GR"/>
        </w:rPr>
        <w:t>παρεμβάσεις ενδυνάμωσης της ικανότητας, υπό τη μορφή εκπαιδευτικών σεμιναρίων. Για το σκοπό αυτό θα διατεθεί ποσό ύψους €1εκ. περίπου στ</w:t>
      </w:r>
      <w:r w:rsidR="00945D13">
        <w:rPr>
          <w:rFonts w:cs="Calibri"/>
          <w:lang w:val="el-GR"/>
        </w:rPr>
        <w:t>ο</w:t>
      </w:r>
      <w:r w:rsidRPr="00686B8D">
        <w:rPr>
          <w:rFonts w:cs="Calibri"/>
          <w:lang w:val="el-GR"/>
        </w:rPr>
        <w:t xml:space="preserve"> πλαίσι</w:t>
      </w:r>
      <w:r w:rsidR="00945D13">
        <w:rPr>
          <w:rFonts w:cs="Calibri"/>
          <w:lang w:val="el-GR"/>
        </w:rPr>
        <w:t>ο</w:t>
      </w:r>
      <w:r w:rsidRPr="00686B8D">
        <w:rPr>
          <w:rFonts w:cs="Calibri"/>
          <w:lang w:val="el-GR"/>
        </w:rPr>
        <w:t xml:space="preserve"> του </w:t>
      </w:r>
      <w:r w:rsidR="00945D13">
        <w:rPr>
          <w:rFonts w:cs="Calibri"/>
          <w:lang w:val="el-GR"/>
        </w:rPr>
        <w:t xml:space="preserve">Άξονα </w:t>
      </w:r>
      <w:r w:rsidRPr="00686B8D">
        <w:rPr>
          <w:rFonts w:cs="Calibri"/>
          <w:lang w:val="el-GR"/>
        </w:rPr>
        <w:t>4.</w:t>
      </w:r>
    </w:p>
    <w:p w14:paraId="600EA6FB" w14:textId="6476272C" w:rsidR="00686B8D" w:rsidRPr="00686B8D" w:rsidRDefault="00686B8D" w:rsidP="004037F3">
      <w:pPr>
        <w:jc w:val="both"/>
        <w:rPr>
          <w:szCs w:val="24"/>
          <w:lang w:val="el-GR"/>
        </w:rPr>
      </w:pPr>
      <w:r w:rsidRPr="00686B8D">
        <w:rPr>
          <w:szCs w:val="24"/>
          <w:lang w:val="el-GR"/>
        </w:rPr>
        <w:t xml:space="preserve">Σε ότι αφορά </w:t>
      </w:r>
      <w:r w:rsidR="00945D13">
        <w:rPr>
          <w:szCs w:val="24"/>
          <w:lang w:val="el-GR"/>
        </w:rPr>
        <w:t>σ</w:t>
      </w:r>
      <w:r w:rsidRPr="00686B8D">
        <w:rPr>
          <w:szCs w:val="24"/>
          <w:lang w:val="el-GR"/>
        </w:rPr>
        <w:t xml:space="preserve">την υλοποίηση του </w:t>
      </w:r>
      <w:r w:rsidRPr="00686B8D">
        <w:rPr>
          <w:b/>
          <w:szCs w:val="24"/>
          <w:lang w:val="el-GR"/>
        </w:rPr>
        <w:t>Προγράμματος Αγροτικής Ανάπτυξης</w:t>
      </w:r>
      <w:r w:rsidR="00945D13">
        <w:rPr>
          <w:b/>
          <w:szCs w:val="24"/>
          <w:lang w:val="el-GR"/>
        </w:rPr>
        <w:t>,</w:t>
      </w:r>
      <w:r w:rsidRPr="00686B8D">
        <w:rPr>
          <w:szCs w:val="24"/>
          <w:lang w:val="el-GR"/>
        </w:rPr>
        <w:t xml:space="preserve"> η πολυεπίπεδη </w:t>
      </w:r>
      <w:r w:rsidRPr="00686B8D">
        <w:rPr>
          <w:rFonts w:cs="Calibri"/>
          <w:lang w:val="el-GR"/>
        </w:rPr>
        <w:t>διακυβέρνηση</w:t>
      </w:r>
      <w:r w:rsidRPr="00686B8D">
        <w:rPr>
          <w:szCs w:val="24"/>
          <w:lang w:val="el-GR"/>
        </w:rPr>
        <w:t xml:space="preserve"> εξασφαλίζεται μέσω της διευρυμένης συμμετοχής εκπροσώπων των οικονομικών, κοινωνικών εταίρων και των μη κυβερνητικών περιβαλλοντικών οργανώσεων στην </w:t>
      </w:r>
      <w:r w:rsidRPr="00686B8D">
        <w:rPr>
          <w:b/>
          <w:szCs w:val="24"/>
          <w:lang w:val="el-GR"/>
        </w:rPr>
        <w:t>Επιτροπή Παρακολούθησης</w:t>
      </w:r>
      <w:r w:rsidRPr="00686B8D">
        <w:rPr>
          <w:szCs w:val="24"/>
          <w:lang w:val="el-GR"/>
        </w:rPr>
        <w:t xml:space="preserve"> και στο </w:t>
      </w:r>
      <w:r w:rsidRPr="00686B8D">
        <w:rPr>
          <w:b/>
          <w:szCs w:val="24"/>
          <w:lang w:val="el-GR"/>
        </w:rPr>
        <w:t>Εθνικό Αγροτικό Δίκτυο</w:t>
      </w:r>
      <w:r w:rsidRPr="00686B8D">
        <w:rPr>
          <w:szCs w:val="24"/>
          <w:lang w:val="el-GR"/>
        </w:rPr>
        <w:t>.</w:t>
      </w:r>
      <w:r w:rsidR="00945D13">
        <w:rPr>
          <w:szCs w:val="24"/>
          <w:lang w:val="el-GR"/>
        </w:rPr>
        <w:t xml:space="preserve"> Συγκεκριμένα,</w:t>
      </w:r>
      <w:r w:rsidRPr="00686B8D">
        <w:rPr>
          <w:szCs w:val="24"/>
          <w:lang w:val="el-GR"/>
        </w:rPr>
        <w:t xml:space="preserve"> </w:t>
      </w:r>
      <w:r w:rsidR="00945D13">
        <w:rPr>
          <w:szCs w:val="24"/>
          <w:lang w:val="el-GR"/>
        </w:rPr>
        <w:t>σ</w:t>
      </w:r>
      <w:r w:rsidRPr="00686B8D">
        <w:rPr>
          <w:szCs w:val="24"/>
          <w:lang w:val="el-GR"/>
        </w:rPr>
        <w:t xml:space="preserve">την </w:t>
      </w:r>
      <w:r w:rsidRPr="00686B8D">
        <w:rPr>
          <w:b/>
          <w:szCs w:val="24"/>
          <w:lang w:val="el-GR"/>
        </w:rPr>
        <w:t>Επιτροπή Παρακολούθησης του ΠΑΑ</w:t>
      </w:r>
      <w:r w:rsidRPr="00686B8D">
        <w:rPr>
          <w:szCs w:val="24"/>
          <w:lang w:val="el-GR"/>
        </w:rPr>
        <w:t xml:space="preserve">, κύρια πρόνοια για τη σύνθεση της ήταν η ανάγκη συμμετοχής των βασικών φορέων που εμπλέκονται στην πολιτική Αγροτικής Ανάπτυξης. Ως εκ τούτου, η Επιτροπή απαρτίζεται από ερευνητικά και ακαδημαϊκά ιδρύματα (Ινστιτούτο Γεωργικών Ερευνών και Τεχνολογικό Πανεπιστήμιο </w:t>
      </w:r>
      <w:r w:rsidRPr="00686B8D">
        <w:rPr>
          <w:rFonts w:cs="Calibri"/>
          <w:lang w:val="el-GR"/>
        </w:rPr>
        <w:t>Κύπρου</w:t>
      </w:r>
      <w:r w:rsidRPr="00686B8D">
        <w:rPr>
          <w:szCs w:val="24"/>
          <w:lang w:val="el-GR"/>
        </w:rPr>
        <w:t>), ενώσεις Αρχών Τοπικής Αυτοδιοίκησης (δήμων και κοινοτήτων), οικονομικούς και κοινωνικούς εταίρους (π.χ. Ένωση Κυπρίων Αγροτών, Παναγροτικός Σύνδεσμος Κύπρου κ.α.) και άλλους φορείς (π.χ. Παγκύπρια Ένωση Γεωπόνων, Ομοσπονδία Περιβαλλοντικών και Οικολογικών Οργανώσεων Κύπρου κ.α.). Επίσης, κατά τις συνεδριάσεις της Επιτροπής Παρακολούθησης προσκαλούνται εκπρόσωποι μη κυβερνητικών οργανώσεων και άλλων ενδιαφερόμενων φορέων, καθώς και εμπειρογνώμονες σε οικονομικά, τεχνικά, κοινωνικά, επιστημονικά και σχετικά θέματα.</w:t>
      </w:r>
    </w:p>
    <w:p w14:paraId="2D28D270" w14:textId="34F07A2C" w:rsidR="00686B8D" w:rsidRPr="00686B8D" w:rsidRDefault="00686B8D" w:rsidP="004037F3">
      <w:pPr>
        <w:jc w:val="both"/>
        <w:rPr>
          <w:szCs w:val="24"/>
          <w:lang w:val="el-GR"/>
        </w:rPr>
      </w:pPr>
      <w:r w:rsidRPr="00686B8D">
        <w:rPr>
          <w:szCs w:val="24"/>
          <w:lang w:val="el-GR"/>
        </w:rPr>
        <w:t xml:space="preserve">Γενικός κανόνας είναι ότι </w:t>
      </w:r>
      <w:r w:rsidRPr="00686B8D">
        <w:rPr>
          <w:b/>
          <w:szCs w:val="24"/>
          <w:lang w:val="el-GR"/>
        </w:rPr>
        <w:t>η Διαχειριστική Αρχή του ΠΑΑ</w:t>
      </w:r>
      <w:r w:rsidRPr="00686B8D">
        <w:rPr>
          <w:szCs w:val="24"/>
          <w:lang w:val="el-GR"/>
        </w:rPr>
        <w:t xml:space="preserve"> ενημερώνει και διαβουλεύεται με τους εταίρους όλα τα ζητήματα τα </w:t>
      </w:r>
      <w:r w:rsidRPr="00686B8D">
        <w:rPr>
          <w:rFonts w:cs="Calibri"/>
          <w:lang w:val="el-GR"/>
        </w:rPr>
        <w:t>οποία</w:t>
      </w:r>
      <w:r w:rsidRPr="00686B8D">
        <w:rPr>
          <w:szCs w:val="24"/>
          <w:lang w:val="el-GR"/>
        </w:rPr>
        <w:t xml:space="preserve"> θεωρεί ως σημαντικά, ενώ ανταποκρίνεται θετικά σε κάθε αίτημα διαβούλευσης που τίθεται από ενδιαφερόμενους φορείς.</w:t>
      </w:r>
      <w:r w:rsidRPr="00686B8D">
        <w:rPr>
          <w:szCs w:val="24"/>
        </w:rPr>
        <w:t> </w:t>
      </w:r>
      <w:r w:rsidRPr="00686B8D">
        <w:rPr>
          <w:szCs w:val="24"/>
          <w:lang w:val="el-GR"/>
        </w:rPr>
        <w:t>Στο πλαίσιο αυτό, είναι σημαντικό να αναφερθεί ότι πριν από κάθε προκήρυξη προηγείται ενημέρωση και διαβούλευση της Διαχειριστικής Αρχής με την Επιτροπή Παρακολούθησης για τα κριτήρια επιλογής (κριτήρια μοριοδότησης), όπως προβλέπεται από το άρθρο 74(α) του Κανονισμού 1305/2013. Τα κριτήρια μοριοδότησης των επιμέρους μέτρων και Καθεστώτων αποτέλεσαν το κύριο θέμα συζήτησης κατά την 1η συνεδρίαση της Επιτροπής Παρακολούθησης που πραγματοποιήθηκε στις 15/01/2016. Πέραν των συνεδριάσεων της Επιτροπής Παρακολούθησης διοργανώθηκαν από τη Διαχειριστική Αρχή ειδικές συναντήσεις με συγκεκριμένα μέλη της Επιτροπής Παρακολούθησης, τα οποία εξέφρασαν σχετικό ενδιαφέρον. Αναφέρονται ως παράδειγμα οι ειδικές συναντήσεις που πραγματοποιήθηκαν με τις αγροτικές οργανώσεις για συζήτηση των κριτηρίων μοριοδότησης του Καθεστώτος 4.1 «Επενδύσεις που βελτιώνουν τις συνολικές επιδόσεις και τη βιωσιμότητα των γεωργοκτηνοτροφικών εκμεταλλεύσεων» και του Καθεστώτος 6.1. «Ενίσχυση πρώτης εγκατάστασης νέων αγροτών».</w:t>
      </w:r>
    </w:p>
    <w:p w14:paraId="121DD1B5" w14:textId="733DBA55" w:rsidR="00686B8D" w:rsidRPr="00686B8D" w:rsidRDefault="00686B8D" w:rsidP="004037F3">
      <w:pPr>
        <w:jc w:val="both"/>
        <w:rPr>
          <w:szCs w:val="24"/>
          <w:lang w:val="el-GR"/>
        </w:rPr>
      </w:pPr>
      <w:r w:rsidRPr="00686B8D">
        <w:rPr>
          <w:szCs w:val="24"/>
          <w:lang w:val="el-GR"/>
        </w:rPr>
        <w:t xml:space="preserve">Επίσης, κατά την ετοιμασία της 1ης τροποποίησης του </w:t>
      </w:r>
      <w:r w:rsidR="00945D13">
        <w:rPr>
          <w:szCs w:val="24"/>
          <w:lang w:val="el-GR"/>
        </w:rPr>
        <w:t>ΠΑΑ</w:t>
      </w:r>
      <w:r w:rsidRPr="00686B8D">
        <w:rPr>
          <w:szCs w:val="24"/>
          <w:lang w:val="el-GR"/>
        </w:rPr>
        <w:t xml:space="preserve"> υπήρξε διαβούλευση με τα μέλη της Επιτροπής Παρακολούθησης, τα οποία και ενέκριναν την πρόταση της Διαχειριστικής Αρχής πριν </w:t>
      </w:r>
      <w:r w:rsidR="00945D13">
        <w:rPr>
          <w:szCs w:val="24"/>
          <w:lang w:val="el-GR"/>
        </w:rPr>
        <w:t xml:space="preserve">αυτή </w:t>
      </w:r>
      <w:r w:rsidRPr="00686B8D">
        <w:rPr>
          <w:szCs w:val="24"/>
          <w:lang w:val="el-GR"/>
        </w:rPr>
        <w:t xml:space="preserve">αποσταλεί στην ΕΕ. Όπως </w:t>
      </w:r>
      <w:r w:rsidRPr="00686B8D">
        <w:rPr>
          <w:rFonts w:cs="Calibri"/>
          <w:lang w:val="el-GR"/>
        </w:rPr>
        <w:t>και</w:t>
      </w:r>
      <w:r w:rsidRPr="00686B8D">
        <w:rPr>
          <w:szCs w:val="24"/>
          <w:lang w:val="el-GR"/>
        </w:rPr>
        <w:t xml:space="preserve"> στην περίπτωση των κριτηρίων μοριοδότησης, η Διαχειριστική Αρχή διοργάνωσε ειδική συνάντηση με τις αγροτικές οργανώσεις (που επέδειξαν σχετικό ενδιαφέρον) για </w:t>
      </w:r>
      <w:r w:rsidRPr="00686B8D">
        <w:rPr>
          <w:szCs w:val="24"/>
          <w:lang w:val="el-GR"/>
        </w:rPr>
        <w:lastRenderedPageBreak/>
        <w:t>παρουσίαση και συζήτηση των τριών νέων αγροπεριβαλλοντικών δράσεων που περιλήφθηκαν στο αναθεωρημένο Πρόγραμμα.</w:t>
      </w:r>
      <w:r w:rsidRPr="00686B8D">
        <w:rPr>
          <w:szCs w:val="24"/>
        </w:rPr>
        <w:t>  </w:t>
      </w:r>
    </w:p>
    <w:p w14:paraId="1D02B704" w14:textId="2222469E" w:rsidR="00686B8D" w:rsidRPr="00686B8D" w:rsidRDefault="00686B8D" w:rsidP="004037F3">
      <w:pPr>
        <w:jc w:val="both"/>
        <w:rPr>
          <w:szCs w:val="24"/>
          <w:lang w:val="el-GR"/>
        </w:rPr>
      </w:pPr>
      <w:r w:rsidRPr="00686B8D">
        <w:rPr>
          <w:szCs w:val="24"/>
          <w:lang w:val="el-GR"/>
        </w:rPr>
        <w:t xml:space="preserve">Σε ότι αφορά το </w:t>
      </w:r>
      <w:r w:rsidRPr="00686B8D">
        <w:rPr>
          <w:b/>
          <w:szCs w:val="24"/>
          <w:lang w:val="el-GR"/>
        </w:rPr>
        <w:t>Εθνικό Αγροτικό Δίκτυο</w:t>
      </w:r>
      <w:r w:rsidR="00945D13">
        <w:rPr>
          <w:b/>
          <w:szCs w:val="24"/>
          <w:lang w:val="el-GR"/>
        </w:rPr>
        <w:t xml:space="preserve"> (ΕΑΔ)</w:t>
      </w:r>
      <w:r w:rsidRPr="00686B8D">
        <w:rPr>
          <w:szCs w:val="24"/>
          <w:lang w:val="el-GR"/>
        </w:rPr>
        <w:t xml:space="preserve">, σε αυτό συμμετέχουν όλοι οι φορείς, οργανισμοί και δημόσιες και διοικητικές υπηρεσίες που έχουν άμεση ή έμμεση σχέση με την Αγροτική Ανάπτυξη στην Κύπρο, </w:t>
      </w:r>
      <w:r w:rsidRPr="00686B8D">
        <w:rPr>
          <w:rFonts w:cs="Calibri"/>
          <w:lang w:val="el-GR"/>
        </w:rPr>
        <w:t>συμπεριλαμβανομένων</w:t>
      </w:r>
      <w:r w:rsidRPr="00686B8D">
        <w:rPr>
          <w:szCs w:val="24"/>
          <w:lang w:val="el-GR"/>
        </w:rPr>
        <w:t xml:space="preserve"> των εταίρων του άρθρου 5 του Κανονισμού (ΕΕ) αριθ. 1303/2013. Με βάση μια από τις αρχές λειτουργίας του, το ΕΑΔ είναι διαφανής και ανοιχτός χώρος συμμετοχής, δημιουργικής συνάντησης, διαλόγου και συνεργασίας του κοινωνικού, δημόσιου και ιδιωτικού τομέα και των φορέων τους. Στη Συντονιστική Επιτροπή του ΕΑΔ, που αποτελεί το ανώτατο σώμα λήψης αποφάσεων, συμμετέχουν μεταξύ άλλων εκπρόσωποι της Ερευνητικής  και της Επιστημονικής Κοινότητας (</w:t>
      </w:r>
      <w:r w:rsidR="00945D13" w:rsidRPr="00686B8D">
        <w:rPr>
          <w:szCs w:val="24"/>
          <w:lang w:val="el-GR"/>
        </w:rPr>
        <w:t>Ινστιτούτο Γεωργικών Ερευνών</w:t>
      </w:r>
      <w:r w:rsidR="00945D13">
        <w:rPr>
          <w:szCs w:val="24"/>
          <w:lang w:val="el-GR"/>
        </w:rPr>
        <w:t>,</w:t>
      </w:r>
      <w:r w:rsidR="00945D13" w:rsidRPr="00686B8D">
        <w:rPr>
          <w:szCs w:val="24"/>
          <w:lang w:val="el-GR"/>
        </w:rPr>
        <w:t xml:space="preserve"> </w:t>
      </w:r>
      <w:r w:rsidRPr="00686B8D">
        <w:rPr>
          <w:szCs w:val="24"/>
          <w:lang w:val="el-GR"/>
        </w:rPr>
        <w:t>Τεχνολογικό Πανεπιστήμιο Κύπρου), και αγροτικοί εταίροι μεταξύ των οποίων είναι Ομάδες Παραγωγών, Αγροτικές Οργανώσεις, Σύνδεσμοι και Οργανώσεις κοινωνικού ενδιαφέροντος, Περιβαλλοντικές Οργανώσεις κ.α. Οι Αγροτικοί Εταίροι διαχωρίζονται σε 4 Θεματικές Δικτυακές Ομάδες ("Ανταγωνιστικότητα", "Περιβάλλον", "Ανάπτυξη της Υπαίθρου", "Γνώση και Καινοτομία") και σε αυτές δύναται να συμμετέχουν αντιπρόσωποι από τις Αρμόδιες Εθνικές Αρχές που σχετίζονται με το αντικείμενο των αντίστοιχων Ομάδων.</w:t>
      </w:r>
    </w:p>
    <w:p w14:paraId="0C33D904" w14:textId="77777777" w:rsidR="00686B8D" w:rsidRPr="00686B8D" w:rsidRDefault="00686B8D" w:rsidP="004037F3">
      <w:pPr>
        <w:jc w:val="both"/>
        <w:rPr>
          <w:szCs w:val="24"/>
          <w:lang w:val="el-GR"/>
        </w:rPr>
      </w:pPr>
      <w:r w:rsidRPr="00686B8D">
        <w:rPr>
          <w:szCs w:val="24"/>
          <w:lang w:val="el-GR"/>
        </w:rPr>
        <w:t xml:space="preserve">Τέλος, μια κατεξοχήν πρωτοβουλία προώθησης των αρχών της πολυεπίπεδης διακυβέρνησης στο ΠΑΑ είναι το </w:t>
      </w:r>
      <w:r w:rsidRPr="00D523EF">
        <w:rPr>
          <w:szCs w:val="24"/>
          <w:lang w:val="el-GR"/>
        </w:rPr>
        <w:t xml:space="preserve">Μέτρο 19 "Στήριξη για τοπική ανάπτυξη μέσω του LEADER". </w:t>
      </w:r>
      <w:r w:rsidRPr="00686B8D">
        <w:rPr>
          <w:szCs w:val="24"/>
          <w:lang w:val="el-GR"/>
        </w:rPr>
        <w:t>Σημειώνεται ότι στα πλαίσια της προπαρασκευαστικής υποστήριξης για την ετοιμασία των Στρατηγικών Τοπικής Ανάπτυξης πραγματοποιήθηκαν δράσεις για τη δημιουργία ικανοτήτων, την κατάρτιση και δικτύωση με σκοπό την προετοιμασία και την υλοποίηση μιας στρατηγικής τοπικής ανάπτυξης. Ως αποτέλεσμα, ετοιμάστηκαν και υποβλήθηκαν 4 Στρατηγικές Τοπικής Ανάπτυξης. Οι σχετικές συμβάσεις μεταξύ των 4 Ομάδων Τοπικής Δράσης και του Υπουργείου Γεωργίας, Αγροτικής Ανάπτυξης και Περιβάλλοντος υπογράφηκαν στις 4 Μαΐου 2016.</w:t>
      </w:r>
    </w:p>
    <w:p w14:paraId="3C1929A6" w14:textId="33C32776" w:rsidR="00686B8D" w:rsidRPr="00686B8D" w:rsidRDefault="00686B8D" w:rsidP="004037F3">
      <w:pPr>
        <w:jc w:val="both"/>
        <w:rPr>
          <w:lang w:val="el-GR"/>
        </w:rPr>
      </w:pPr>
      <w:r w:rsidRPr="00686B8D">
        <w:rPr>
          <w:lang w:val="el-GR"/>
        </w:rPr>
        <w:t xml:space="preserve">Τέλος σε ότι αφορά στο </w:t>
      </w:r>
      <w:r w:rsidRPr="00686B8D">
        <w:rPr>
          <w:b/>
          <w:lang w:val="el-GR"/>
        </w:rPr>
        <w:t>ΕΤΘΑ, το ΕΠ «Θάλασσα» 2014-2020</w:t>
      </w:r>
      <w:r w:rsidRPr="00686B8D">
        <w:rPr>
          <w:lang w:val="el-GR"/>
        </w:rPr>
        <w:t xml:space="preserve"> καταρτίστηκε μέσω μιας συλλογικής διαδικασίας, στην οποία συμμετείχαν αρμόδιες αρχές σε ευρωπαϊκό, εθνικό, περιφερειακό και τοπικό επίπεδο, κοινωνικοί εταίροι και οργανώσεις της κοινωνίας των πολιτών. Η </w:t>
      </w:r>
      <w:r w:rsidRPr="00686B8D">
        <w:rPr>
          <w:b/>
          <w:lang w:val="el-GR"/>
        </w:rPr>
        <w:t>εταιρική σχέση εφαρμόστηκε σε όλα τα στάδια της διαδικασίας προγραμματισμού</w:t>
      </w:r>
      <w:r w:rsidRPr="00686B8D">
        <w:rPr>
          <w:lang w:val="el-GR"/>
        </w:rPr>
        <w:t>, από το σχεδιασμό, τη διαχείριση και την υλοποίηση, έως την παρακολούθηση και την αξιολόγηση. Η διασφάλιση της εταιρικής σχέσης επιτυγχάνεται με μέτρα που έχουν ήδη ληφθεί στο επίπεδο του προγραμματισμού και της επιλογής των Μέτρων, αλλά και στα πλαίσια της υλοποίησης του Προγράμματος από την ετοιμασία των Σχεδίων Χορηγιών και των προσκλήσεων υποβολής προτάσεων μέχρι την ένταξη και υλοποίηση τους.</w:t>
      </w:r>
    </w:p>
    <w:p w14:paraId="2C5F8BD0" w14:textId="77777777" w:rsidR="00686B8D" w:rsidRPr="00686B8D" w:rsidRDefault="00686B8D" w:rsidP="004037F3">
      <w:pPr>
        <w:jc w:val="both"/>
        <w:rPr>
          <w:lang w:val="el-GR"/>
        </w:rPr>
      </w:pPr>
      <w:r w:rsidRPr="00686B8D">
        <w:rPr>
          <w:lang w:val="el-GR"/>
        </w:rPr>
        <w:t xml:space="preserve">Στην </w:t>
      </w:r>
      <w:r w:rsidRPr="00D523EF">
        <w:rPr>
          <w:lang w:val="el-GR"/>
        </w:rPr>
        <w:t>πορεία υλοποίησης του Προγράμματος, πραγματοποιούνται, όποτε προκύψει ανάγκη, επιμέρους συναντήσεις</w:t>
      </w:r>
      <w:r w:rsidRPr="00686B8D">
        <w:rPr>
          <w:b/>
          <w:lang w:val="el-GR"/>
        </w:rPr>
        <w:t xml:space="preserve"> </w:t>
      </w:r>
      <w:r w:rsidRPr="00686B8D">
        <w:rPr>
          <w:lang w:val="el-GR"/>
        </w:rPr>
        <w:t>με τους παγκύπριους και τοπικούς συνδέσμους των αλιέων και τους υδατοκαλλιεργητές</w:t>
      </w:r>
      <w:r w:rsidR="00D523EF">
        <w:rPr>
          <w:lang w:val="el-GR"/>
        </w:rPr>
        <w:t>,</w:t>
      </w:r>
      <w:r w:rsidRPr="00686B8D">
        <w:rPr>
          <w:lang w:val="el-GR"/>
        </w:rPr>
        <w:t xml:space="preserve"> κατά τις οποίες ενημερώνονται και τους επεξηγούνται τυχόν απορίες και διευκρινήσεις για τις λεπτομέρειες εφαρμογής των Μέτρων και των αντίστοιχων Σχεδίων Χορηγιών. Επίσης, συναντήσεις γίνονται με τους δυνητικούς Δικαιούχους των έργων δημοσίων συμβάσεων, καθώς και με τις ΤΟΔΑ.</w:t>
      </w:r>
    </w:p>
    <w:p w14:paraId="6883817A" w14:textId="4AE1E18D" w:rsidR="00686B8D" w:rsidRPr="00686B8D" w:rsidRDefault="00686B8D" w:rsidP="004037F3">
      <w:pPr>
        <w:jc w:val="both"/>
        <w:rPr>
          <w:lang w:val="el-GR"/>
        </w:rPr>
      </w:pPr>
      <w:r w:rsidRPr="00686B8D">
        <w:rPr>
          <w:lang w:val="el-GR"/>
        </w:rPr>
        <w:t xml:space="preserve">Πέραν των πιο πάνω, υπάρχει και ο </w:t>
      </w:r>
      <w:r w:rsidRPr="00686B8D">
        <w:rPr>
          <w:b/>
          <w:lang w:val="el-GR"/>
        </w:rPr>
        <w:t>θεσμός των Συμβουλευτικών Επιτροπών</w:t>
      </w:r>
      <w:r w:rsidRPr="00686B8D">
        <w:rPr>
          <w:lang w:val="el-GR"/>
        </w:rPr>
        <w:t>. Συγκεκριμένα, υπάρχουν δυο Συμβουλευτικές Επιτροπές, της Υδατοκαλλιέργειας και της Αλιείας, οι οποίες συνεδριάζουν τουλάχιστον μια φορά το χρόνο παρουσία</w:t>
      </w:r>
      <w:r w:rsidR="00D523EF">
        <w:rPr>
          <w:lang w:val="el-GR"/>
        </w:rPr>
        <w:t>,</w:t>
      </w:r>
      <w:r w:rsidRPr="00686B8D">
        <w:rPr>
          <w:lang w:val="el-GR"/>
        </w:rPr>
        <w:t xml:space="preserve"> του Διευθυντή του </w:t>
      </w:r>
      <w:r w:rsidR="00D523EF">
        <w:rPr>
          <w:lang w:val="el-GR"/>
        </w:rPr>
        <w:t>Τμήματος Αλιείας και Θαλάσσιων Ερευνών</w:t>
      </w:r>
      <w:r w:rsidRPr="00686B8D">
        <w:rPr>
          <w:lang w:val="el-GR"/>
        </w:rPr>
        <w:t xml:space="preserve">. </w:t>
      </w:r>
      <w:r w:rsidRPr="00686B8D">
        <w:rPr>
          <w:lang w:val="el-GR"/>
        </w:rPr>
        <w:lastRenderedPageBreak/>
        <w:t xml:space="preserve">Στις Επιτροπές αυτές συμμετέχουν οι επιμέρους κλάδοι των παραγωγών, καθώς και αρμόδιες κυβερνητικές υπηρεσίες. Σε κάθε συνεδρία των Επιτροπών, στην ημερήσια διάταξη υπάρχει η ενημέρωση σχετικά με το </w:t>
      </w:r>
      <w:r w:rsidR="00D523EF">
        <w:rPr>
          <w:lang w:val="el-GR"/>
        </w:rPr>
        <w:t>Π</w:t>
      </w:r>
      <w:r w:rsidRPr="00686B8D">
        <w:rPr>
          <w:lang w:val="el-GR"/>
        </w:rPr>
        <w:t>ρόγραμμα και τα σχετικά με τον κλάδο Μέτρα, καθώς και συζήτηση για τα θέματα που απασχολούν τους παραγωγούς και δυνητικούς Δικαιούχους.</w:t>
      </w:r>
    </w:p>
    <w:p w14:paraId="180B1A23" w14:textId="77777777" w:rsidR="00686B8D" w:rsidRPr="00686B8D" w:rsidRDefault="00686B8D" w:rsidP="004037F3">
      <w:pPr>
        <w:jc w:val="both"/>
        <w:rPr>
          <w:lang w:val="el-GR"/>
        </w:rPr>
      </w:pPr>
      <w:r w:rsidRPr="00686B8D">
        <w:rPr>
          <w:lang w:val="el-GR"/>
        </w:rPr>
        <w:t xml:space="preserve">Σε όλα τα στάδια της υλοποίησης του ΕΠ υπάρχει </w:t>
      </w:r>
      <w:r w:rsidRPr="00D523EF">
        <w:rPr>
          <w:lang w:val="el-GR"/>
        </w:rPr>
        <w:t>εποικοδομητική συνεργασία με την ευρεία και ενεργό συμμετοχή όλων των φορέων</w:t>
      </w:r>
      <w:r w:rsidRPr="00686B8D">
        <w:rPr>
          <w:lang w:val="el-GR"/>
        </w:rPr>
        <w:t>. Με τους άμεσα εμπλεκόμενους (συνδέσμους αλιέων, υδατοκαλλιεργητών) συζητήθηκαν συγκεκριμένες ενέργειες / διαδικασίες όπως οι διατάξεις του κάθε Σχεδίου Χορηγιών και όπου χρειάζεται γίνεται αναθεώρηση των όρων των ΣΧ. Συγκεκριμένα, για το Σχέδιο για την αποζημίωση ζημιών από τα προστατευόμενα θηλαστικά (Μέτρο 1.19), μετά από συζητήσεις με τους αλιείς, αποφασίστηκε η τροποποίηση του Προγράμματος και αύξηση της αποζημίωσης των αλιέων.</w:t>
      </w:r>
    </w:p>
    <w:p w14:paraId="7CF66B01" w14:textId="5696BDC1" w:rsidR="00686B8D" w:rsidRPr="00686B8D" w:rsidRDefault="00686B8D" w:rsidP="004037F3">
      <w:pPr>
        <w:jc w:val="both"/>
        <w:rPr>
          <w:lang w:val="el-GR"/>
        </w:rPr>
      </w:pPr>
      <w:r w:rsidRPr="00686B8D">
        <w:rPr>
          <w:lang w:val="el-GR"/>
        </w:rPr>
        <w:t xml:space="preserve">Επιπρόσθετα, η </w:t>
      </w:r>
      <w:r w:rsidRPr="00686B8D">
        <w:rPr>
          <w:b/>
          <w:lang w:val="el-GR"/>
        </w:rPr>
        <w:t>διασφάλιση της εταιρικής σχέσης επιτυγχάνεται και μέσω της αντιπροσωπευτικής σύνθεσης της Επιτροπής Παρακολούθησης</w:t>
      </w:r>
      <w:r w:rsidRPr="00686B8D">
        <w:rPr>
          <w:lang w:val="el-GR"/>
        </w:rPr>
        <w:t>, η οποία αποτελεί τον κύριο μηχανισμό για τη διασφάλιση της ποιότητας και της αποτελεσματικότητας του ΕΠ. Ειδικότερα, όσον αφορά τους επιμέρους κλάδους των παραγωγών, συμμετέχουν τα συλλογικά σύνολα των αλιέων (μικρή παράκτια αλιεία, πολυδύναμη, τράτες), των υδατοκαλλιεργητών (θαλάσσιας υδατοκαλλιέργειας, εσωτερικών υδάτων)</w:t>
      </w:r>
      <w:r w:rsidR="00D523EF">
        <w:rPr>
          <w:lang w:val="el-GR"/>
        </w:rPr>
        <w:t>,</w:t>
      </w:r>
      <w:r w:rsidRPr="00686B8D">
        <w:rPr>
          <w:lang w:val="el-GR"/>
        </w:rPr>
        <w:t xml:space="preserve"> καθώς και άλλων παρεμφερ</w:t>
      </w:r>
      <w:r w:rsidR="00D523EF">
        <w:rPr>
          <w:lang w:val="el-GR"/>
        </w:rPr>
        <w:t>ών</w:t>
      </w:r>
      <w:r w:rsidRPr="00686B8D">
        <w:rPr>
          <w:lang w:val="el-GR"/>
        </w:rPr>
        <w:t xml:space="preserve"> κλάδων</w:t>
      </w:r>
      <w:r w:rsidR="00D523EF">
        <w:rPr>
          <w:lang w:val="el-GR"/>
        </w:rPr>
        <w:t>,</w:t>
      </w:r>
      <w:r w:rsidRPr="00686B8D">
        <w:rPr>
          <w:lang w:val="el-GR"/>
        </w:rPr>
        <w:t xml:space="preserve"> όπως εκπρόσωποι της μεταποίησης και εμπορίας αλιευτικών προϊόντων, καταδυτικά κέντρα κλπ. Όσον αφορά την τοπική αυτοδιοίκηση, συμμετέχουν οι Ενώσεις Δήμων και Κοινοτήτων, που εκπροσωπούν όλες τις αρχές τοπικής αυτοδιοίκησης. Για τους υπόλοιπους εταίρους λήφθηκαν υπόψη οι θεσμικές και άλλες διευθετήσεις σε επιμέρους τομείς και οριζόντια θέματα, όπως Ισότητα των Φύλων, Μη Διάκριση, Περιβάλλον κλπ. Κατά τις συνεδριάσεις της Επιτροπής Παρακολούθησης μπορεί να κληθούν να συμμετάσχουν και μη μόνιμα μέλη, π.χ. ειδικοί επιστήμονες, εμπειρογνώμονες κλπ., που να σχετίζονται με την υλοποίηση του προγράμματος συλλογής δεδομένων, τον έλεγχο, την προσαρμογή στις κλιματικές αλλαγές ή άλλα θέματα ανάλογα με τα περιεχόμενα της ημερήσιας διάταξης.</w:t>
      </w:r>
    </w:p>
    <w:p w14:paraId="147411B5" w14:textId="77777777" w:rsidR="0081076F" w:rsidRPr="0081076F" w:rsidRDefault="0081076F" w:rsidP="001C18AE">
      <w:pPr>
        <w:spacing w:after="0" w:line="240" w:lineRule="auto"/>
        <w:rPr>
          <w:lang w:val="el-GR"/>
        </w:rPr>
      </w:pPr>
    </w:p>
    <w:p w14:paraId="43D80879" w14:textId="77777777" w:rsidR="0081076F" w:rsidRPr="00B551FF" w:rsidRDefault="0081076F" w:rsidP="004037F3">
      <w:pPr>
        <w:rPr>
          <w:b/>
          <w:i/>
          <w:lang w:val="el-GR"/>
        </w:rPr>
      </w:pPr>
      <w:r w:rsidRPr="00B551FF">
        <w:rPr>
          <w:b/>
          <w:i/>
          <w:lang w:val="el-GR"/>
        </w:rPr>
        <w:t>γ)  Άλλα στοιχεία, κατά περίπτωση.</w:t>
      </w:r>
    </w:p>
    <w:p w14:paraId="51C9DAE1" w14:textId="0B70FE7D" w:rsidR="0081076F" w:rsidRDefault="00D523EF" w:rsidP="004037F3">
      <w:pPr>
        <w:rPr>
          <w:lang w:val="el-GR"/>
        </w:rPr>
      </w:pPr>
      <w:r>
        <w:rPr>
          <w:lang w:val="el-GR"/>
        </w:rPr>
        <w:t>Δεν εφαρμόζεται.</w:t>
      </w:r>
    </w:p>
    <w:p w14:paraId="08DFC659" w14:textId="1406FA1B" w:rsidR="001C18AE" w:rsidRDefault="001C18AE">
      <w:pPr>
        <w:spacing w:after="0" w:line="240" w:lineRule="auto"/>
        <w:rPr>
          <w:lang w:val="el-GR"/>
        </w:rPr>
      </w:pPr>
      <w:r>
        <w:rPr>
          <w:lang w:val="el-GR"/>
        </w:rPr>
        <w:br w:type="page"/>
      </w:r>
    </w:p>
    <w:p w14:paraId="741E7ED1" w14:textId="77777777" w:rsidR="001C18AE" w:rsidRPr="001C18AE" w:rsidRDefault="001C18AE" w:rsidP="001C18AE">
      <w:pPr>
        <w:pStyle w:val="Heading1"/>
        <w:numPr>
          <w:ilvl w:val="0"/>
          <w:numId w:val="7"/>
        </w:numPr>
        <w:ind w:left="426"/>
        <w:rPr>
          <w:rFonts w:ascii="Calibri" w:hAnsi="Calibri"/>
          <w:caps/>
          <w:smallCaps w:val="0"/>
          <w:lang w:val="el-GR"/>
        </w:rPr>
      </w:pPr>
      <w:bookmarkStart w:id="42" w:name="_Toc483572197"/>
      <w:r w:rsidRPr="0081076F">
        <w:rPr>
          <w:rFonts w:ascii="Calibri" w:hAnsi="Calibri"/>
          <w:caps/>
          <w:smallCaps w:val="0"/>
          <w:lang w:val="el-GR"/>
        </w:rPr>
        <w:lastRenderedPageBreak/>
        <w:t xml:space="preserve">Συνοπτική παρουσίαση των μέτρων που λήφθηκαν σε σχέση με την εφαρμογή των οριζόντιων αρχών και των στόχων πολιτικής για την υλοποίηση των ΕΔΕΤ </w:t>
      </w:r>
      <w:r w:rsidRPr="001C18AE">
        <w:rPr>
          <w:vertAlign w:val="superscript"/>
        </w:rPr>
        <w:footnoteReference w:id="19"/>
      </w:r>
      <w:bookmarkEnd w:id="42"/>
    </w:p>
    <w:p w14:paraId="6AB58B4A" w14:textId="77777777" w:rsidR="001C18AE" w:rsidRDefault="001C18AE" w:rsidP="001C18AE">
      <w:pPr>
        <w:spacing w:after="0" w:line="240" w:lineRule="auto"/>
        <w:rPr>
          <w:lang w:val="el-GR"/>
        </w:rPr>
      </w:pPr>
    </w:p>
    <w:p w14:paraId="48FECB0E" w14:textId="77777777" w:rsidR="0081076F" w:rsidRPr="00496CEF" w:rsidRDefault="0081076F" w:rsidP="001C18AE">
      <w:pPr>
        <w:spacing w:after="0" w:line="240" w:lineRule="auto"/>
        <w:rPr>
          <w:b/>
          <w:i/>
          <w:lang w:val="el-GR"/>
        </w:rPr>
      </w:pPr>
      <w:r w:rsidRPr="00496CEF">
        <w:rPr>
          <w:b/>
          <w:i/>
          <w:lang w:val="el-GR"/>
        </w:rPr>
        <w:t>α) Συνοπτική παρουσίαση των μέτρων που λήφθηκαν σε σχέση με την εφαρμογή των οριζόντιων αρχών, με σκοπό την εξασφάλιση της προώθησης και της παρακολούθησης των εν λόγω αρχών στους διάφορους τύπους προγραμμάτων, με αναφορά στο περιεχόμενο του συμφώνου εταιρικής σχέσης:</w:t>
      </w:r>
    </w:p>
    <w:p w14:paraId="71C0C674" w14:textId="77777777" w:rsidR="001073E0" w:rsidRPr="00496CEF" w:rsidRDefault="0081076F" w:rsidP="001C18AE">
      <w:pPr>
        <w:numPr>
          <w:ilvl w:val="0"/>
          <w:numId w:val="26"/>
        </w:numPr>
        <w:spacing w:before="120"/>
        <w:ind w:left="357" w:hanging="357"/>
        <w:rPr>
          <w:b/>
          <w:i/>
          <w:lang w:val="el-GR"/>
        </w:rPr>
      </w:pPr>
      <w:r w:rsidRPr="00496CEF">
        <w:rPr>
          <w:b/>
          <w:i/>
          <w:lang w:val="el-GR"/>
        </w:rPr>
        <w:t>ισότητα των φύλων, καταπολέμηση των διακρίσεων, προσβασιμ</w:t>
      </w:r>
      <w:r w:rsidR="001073E0" w:rsidRPr="00496CEF">
        <w:rPr>
          <w:b/>
          <w:i/>
          <w:lang w:val="el-GR"/>
        </w:rPr>
        <w:t>ότητα για τα άτομα με αναπηρίες</w:t>
      </w:r>
    </w:p>
    <w:p w14:paraId="0B8A3F56" w14:textId="77777777" w:rsidR="00CD5EEF" w:rsidRPr="00BC20E3" w:rsidRDefault="00CD5EEF" w:rsidP="001C18AE">
      <w:pPr>
        <w:jc w:val="both"/>
        <w:rPr>
          <w:rFonts w:cs="Calibri"/>
          <w:lang w:val="el-GR"/>
        </w:rPr>
      </w:pPr>
      <w:r>
        <w:rPr>
          <w:rFonts w:cs="Calibri"/>
          <w:lang w:val="el-GR"/>
        </w:rPr>
        <w:t>Η ισότητα των φύλων</w:t>
      </w:r>
      <w:r w:rsidRPr="00BC20E3">
        <w:rPr>
          <w:rFonts w:cs="Calibri"/>
          <w:lang w:val="el-GR"/>
        </w:rPr>
        <w:t xml:space="preserve">, η </w:t>
      </w:r>
      <w:r>
        <w:rPr>
          <w:rFonts w:cs="Calibri"/>
          <w:lang w:val="el-GR"/>
        </w:rPr>
        <w:t>καταπολέμηση των διακρίσεων και η προσβασιμότητα</w:t>
      </w:r>
      <w:r w:rsidRPr="00BC20E3">
        <w:rPr>
          <w:rFonts w:cs="Calibri"/>
          <w:lang w:val="el-GR"/>
        </w:rPr>
        <w:t xml:space="preserve"> αποτελούν οριζόντιες αρχές που διέπουν την εξειδίκευση και εφαρμογή </w:t>
      </w:r>
      <w:r>
        <w:rPr>
          <w:rFonts w:cs="Calibri"/>
          <w:lang w:val="el-GR"/>
        </w:rPr>
        <w:t>της ΣΕΣ,</w:t>
      </w:r>
      <w:r w:rsidRPr="00BC20E3">
        <w:rPr>
          <w:rFonts w:cs="Calibri"/>
          <w:lang w:val="el-GR"/>
        </w:rPr>
        <w:t xml:space="preserve"> κατά περίπτωση και ανάλ</w:t>
      </w:r>
      <w:r>
        <w:rPr>
          <w:rFonts w:cs="Calibri"/>
          <w:lang w:val="el-GR"/>
        </w:rPr>
        <w:t>ογα με τη φύση των παρεμβάσεων. Η</w:t>
      </w:r>
      <w:r w:rsidRPr="00BC20E3">
        <w:rPr>
          <w:rFonts w:cs="Calibri"/>
          <w:lang w:val="el-GR"/>
        </w:rPr>
        <w:t xml:space="preserve"> </w:t>
      </w:r>
      <w:r>
        <w:rPr>
          <w:rFonts w:cs="Calibri"/>
          <w:lang w:val="el-GR"/>
        </w:rPr>
        <w:t>ενσωμάτωση</w:t>
      </w:r>
      <w:r w:rsidRPr="00BC20E3">
        <w:rPr>
          <w:rFonts w:cs="Calibri"/>
          <w:lang w:val="el-GR"/>
        </w:rPr>
        <w:t xml:space="preserve"> των οριζόντιων αρχών, </w:t>
      </w:r>
      <w:r>
        <w:rPr>
          <w:rFonts w:cs="Calibri"/>
          <w:lang w:val="el-GR"/>
        </w:rPr>
        <w:t xml:space="preserve">διασφαλίζεται </w:t>
      </w:r>
      <w:r w:rsidRPr="00BC20E3">
        <w:rPr>
          <w:rFonts w:cs="Calibri"/>
          <w:lang w:val="el-GR"/>
        </w:rPr>
        <w:t xml:space="preserve">κατά τον </w:t>
      </w:r>
      <w:r w:rsidRPr="00BC20E3">
        <w:rPr>
          <w:rFonts w:cs="Calibri"/>
          <w:b/>
          <w:lang w:val="el-GR"/>
        </w:rPr>
        <w:t xml:space="preserve">έλεγχο </w:t>
      </w:r>
      <w:r>
        <w:rPr>
          <w:rFonts w:cs="Calibri"/>
          <w:b/>
          <w:lang w:val="el-GR"/>
        </w:rPr>
        <w:t>κριτηρίων</w:t>
      </w:r>
      <w:r w:rsidRPr="00BC20E3">
        <w:rPr>
          <w:rFonts w:cs="Calibri"/>
          <w:b/>
          <w:lang w:val="el-GR"/>
        </w:rPr>
        <w:t xml:space="preserve"> συμβατότητας</w:t>
      </w:r>
      <w:r w:rsidRPr="00BC20E3">
        <w:rPr>
          <w:rFonts w:cs="Calibri"/>
          <w:lang w:val="el-GR"/>
        </w:rPr>
        <w:t xml:space="preserve"> των προτεινόμενων πράξεων με τις αντίστοιχες εθνικές και ενωσ</w:t>
      </w:r>
      <w:r>
        <w:rPr>
          <w:rFonts w:cs="Calibri"/>
          <w:lang w:val="el-GR"/>
        </w:rPr>
        <w:t xml:space="preserve">ιακές πολιτικές και νομοθεσίες. </w:t>
      </w:r>
      <w:r w:rsidRPr="00BC20E3">
        <w:rPr>
          <w:rFonts w:cs="Calibri"/>
          <w:lang w:val="el-GR"/>
        </w:rPr>
        <w:t xml:space="preserve">Επίσης, οι προτεινόμενες πράξεις </w:t>
      </w:r>
      <w:r w:rsidRPr="00736B60">
        <w:rPr>
          <w:rFonts w:cs="Calibri"/>
          <w:b/>
          <w:lang w:val="el-GR"/>
        </w:rPr>
        <w:t xml:space="preserve">ελέγχονται μέσω ειδικών κριτηρίων επιλογής </w:t>
      </w:r>
      <w:r>
        <w:rPr>
          <w:rFonts w:cs="Calibri"/>
          <w:b/>
          <w:lang w:val="el-GR"/>
        </w:rPr>
        <w:t xml:space="preserve">ως προς τη σκοπιμότητα </w:t>
      </w:r>
      <w:r w:rsidRPr="00BC20E3">
        <w:rPr>
          <w:rFonts w:cs="Calibri"/>
          <w:lang w:val="el-GR"/>
        </w:rPr>
        <w:t>για τη θετική ή ουδέτερη συμβολή τους στην ισότητα των φύλων και στη μη διάκριση</w:t>
      </w:r>
      <w:r>
        <w:rPr>
          <w:rFonts w:cs="Calibri"/>
          <w:lang w:val="el-GR"/>
        </w:rPr>
        <w:t xml:space="preserve"> </w:t>
      </w:r>
      <w:r w:rsidRPr="003345E9">
        <w:rPr>
          <w:rFonts w:cs="Calibri"/>
          <w:b/>
          <w:lang w:val="el-GR"/>
        </w:rPr>
        <w:t>και τη συνάφειά τους</w:t>
      </w:r>
      <w:r>
        <w:rPr>
          <w:rFonts w:cs="Calibri"/>
          <w:lang w:val="el-GR"/>
        </w:rPr>
        <w:t xml:space="preserve"> ως προς την ενσωμάτωση των εν λόγω οριζόντιων αρχών</w:t>
      </w:r>
      <w:r w:rsidRPr="00BC20E3">
        <w:rPr>
          <w:rFonts w:cs="Calibri"/>
          <w:lang w:val="el-GR"/>
        </w:rPr>
        <w:t xml:space="preserve">. </w:t>
      </w:r>
    </w:p>
    <w:p w14:paraId="51AC8EFF" w14:textId="77777777" w:rsidR="00CD5EEF" w:rsidRPr="00BC20E3" w:rsidRDefault="00CD5EEF" w:rsidP="001C18AE">
      <w:pPr>
        <w:jc w:val="both"/>
        <w:rPr>
          <w:rFonts w:eastAsia="TimesNewRomanPSMT" w:cs="Calibri"/>
          <w:lang w:val="el-GR"/>
        </w:rPr>
      </w:pPr>
      <w:r>
        <w:rPr>
          <w:rFonts w:eastAsia="TimesNewRomanPSMT" w:cs="Calibri"/>
          <w:lang w:val="el-GR"/>
        </w:rPr>
        <w:t xml:space="preserve">Σύμφωνα με τις Εγκυκλίους 1 &amp; 9 της </w:t>
      </w:r>
      <w:r w:rsidR="00AC7E7F">
        <w:rPr>
          <w:rFonts w:eastAsia="TimesNewRomanPSMT" w:cs="Calibri"/>
          <w:lang w:val="el-GR"/>
        </w:rPr>
        <w:t>Διαχειριστικής Αρχής (</w:t>
      </w:r>
      <w:r>
        <w:rPr>
          <w:rFonts w:eastAsia="TimesNewRomanPSMT" w:cs="Calibri"/>
          <w:lang w:val="el-GR"/>
        </w:rPr>
        <w:t>Δ.Α.</w:t>
      </w:r>
      <w:r w:rsidR="00AC7E7F">
        <w:rPr>
          <w:rFonts w:eastAsia="TimesNewRomanPSMT" w:cs="Calibri"/>
          <w:lang w:val="el-GR"/>
        </w:rPr>
        <w:t>),</w:t>
      </w:r>
      <w:r>
        <w:rPr>
          <w:rFonts w:eastAsia="TimesNewRomanPSMT" w:cs="Calibri"/>
          <w:lang w:val="el-GR"/>
        </w:rPr>
        <w:t xml:space="preserve"> στο πλαίσιο</w:t>
      </w:r>
      <w:r w:rsidRPr="00B33256">
        <w:rPr>
          <w:rFonts w:eastAsia="TimesNewRomanPSMT" w:cs="Calibri"/>
          <w:lang w:val="el-GR"/>
        </w:rPr>
        <w:t xml:space="preserve"> των διαδικασιών ένταξης, παρακολούθησης και επαληθεύσεων των έργων του ΕΠ</w:t>
      </w:r>
      <w:r>
        <w:rPr>
          <w:rFonts w:eastAsia="TimesNewRomanPSMT" w:cs="Calibri"/>
          <w:lang w:val="el-GR"/>
        </w:rPr>
        <w:t>, σ</w:t>
      </w:r>
      <w:r w:rsidRPr="00BC20E3">
        <w:rPr>
          <w:rFonts w:eastAsia="TimesNewRomanPSMT" w:cs="Calibri"/>
          <w:lang w:val="el-GR"/>
        </w:rPr>
        <w:t>τις περιπτώσεις Σχεδίων Χορηγιών</w:t>
      </w:r>
      <w:r>
        <w:rPr>
          <w:rFonts w:eastAsia="TimesNewRomanPSMT" w:cs="Calibri"/>
          <w:lang w:val="el-GR"/>
        </w:rPr>
        <w:t xml:space="preserve"> </w:t>
      </w:r>
      <w:r w:rsidRPr="00BC20E3">
        <w:rPr>
          <w:rFonts w:eastAsia="TimesNewRomanPSMT" w:cs="Calibri"/>
          <w:lang w:val="el-GR"/>
        </w:rPr>
        <w:t xml:space="preserve">λαμβάνεται, όπου ενδείκνυται, από τους αρμόδιους Ενδιάμεσους Φορείς, γνώμη </w:t>
      </w:r>
      <w:r>
        <w:rPr>
          <w:rFonts w:eastAsia="TimesNewRomanPSMT" w:cs="Calibri"/>
          <w:lang w:val="el-GR"/>
        </w:rPr>
        <w:t xml:space="preserve">του </w:t>
      </w:r>
      <w:r w:rsidRPr="00BC20E3">
        <w:rPr>
          <w:rFonts w:eastAsia="TimesNewRomanPSMT" w:cs="Calibri"/>
          <w:lang w:val="el-GR"/>
        </w:rPr>
        <w:t>Υπουργείο</w:t>
      </w:r>
      <w:r>
        <w:rPr>
          <w:rFonts w:eastAsia="TimesNewRomanPSMT" w:cs="Calibri"/>
          <w:lang w:val="el-GR"/>
        </w:rPr>
        <w:t>υ</w:t>
      </w:r>
      <w:r w:rsidRPr="00BC20E3">
        <w:rPr>
          <w:rFonts w:eastAsia="TimesNewRomanPSMT" w:cs="Calibri"/>
          <w:lang w:val="el-GR"/>
        </w:rPr>
        <w:t xml:space="preserve"> Δικαιοσύνης και Δημοσίας Τάξεως</w:t>
      </w:r>
      <w:r>
        <w:rPr>
          <w:rFonts w:eastAsia="TimesNewRomanPSMT" w:cs="Calibri"/>
          <w:lang w:val="el-GR"/>
        </w:rPr>
        <w:t xml:space="preserve"> -ως αρμόδια αρχή</w:t>
      </w:r>
      <w:r w:rsidRPr="00B33256">
        <w:rPr>
          <w:rFonts w:eastAsia="TimesNewRomanPSMT" w:cs="Calibri"/>
          <w:lang w:val="el-GR"/>
        </w:rPr>
        <w:t xml:space="preserve"> </w:t>
      </w:r>
      <w:r>
        <w:rPr>
          <w:rFonts w:eastAsia="TimesNewRomanPSMT" w:cs="Calibri"/>
          <w:lang w:val="el-GR"/>
        </w:rPr>
        <w:t>που έχει τον συντονισμό</w:t>
      </w:r>
      <w:r w:rsidRPr="00BC20E3">
        <w:rPr>
          <w:rFonts w:eastAsia="TimesNewRomanPSMT" w:cs="Calibri"/>
          <w:lang w:val="el-GR"/>
        </w:rPr>
        <w:t xml:space="preserve"> της προώθησης της ισότητας ανδρών και γυναικών</w:t>
      </w:r>
      <w:r>
        <w:rPr>
          <w:rFonts w:eastAsia="TimesNewRomanPSMT" w:cs="Calibri"/>
          <w:lang w:val="el-GR"/>
        </w:rPr>
        <w:t xml:space="preserve">- </w:t>
      </w:r>
      <w:r w:rsidRPr="00BC20E3">
        <w:rPr>
          <w:rFonts w:eastAsia="TimesNewRomanPSMT" w:cs="Calibri"/>
          <w:lang w:val="el-GR"/>
        </w:rPr>
        <w:t xml:space="preserve">για το Σχέδιο και κατ’ επέκταση για το σύνολο των έργων που θα προωθηθούν </w:t>
      </w:r>
      <w:r>
        <w:rPr>
          <w:rFonts w:eastAsia="TimesNewRomanPSMT" w:cs="Calibri"/>
          <w:lang w:val="el-GR"/>
        </w:rPr>
        <w:t xml:space="preserve">κάτω από αυτό. </w:t>
      </w:r>
      <w:r w:rsidRPr="00BC20E3">
        <w:rPr>
          <w:rFonts w:eastAsia="TimesNewRomanPSMT" w:cs="Calibri"/>
          <w:lang w:val="el-GR"/>
        </w:rPr>
        <w:t xml:space="preserve">Για κάθε έργο που αξιολογείται, η Μονάδα Ισότητας επεξεργάζεται το </w:t>
      </w:r>
      <w:r w:rsidRPr="00BC20E3">
        <w:rPr>
          <w:rFonts w:eastAsia="TimesNewRomanPSMT" w:cs="Calibri"/>
          <w:b/>
          <w:lang w:val="el-GR"/>
        </w:rPr>
        <w:t>«Πιστοποιητικό Ισότητας»</w:t>
      </w:r>
      <w:r w:rsidRPr="00BC20E3">
        <w:rPr>
          <w:rFonts w:eastAsia="TimesNewRomanPSMT" w:cs="Calibri"/>
          <w:lang w:val="el-GR"/>
        </w:rPr>
        <w:t xml:space="preserve">, στο οποίο εξετάζεται η συμβατότητα του </w:t>
      </w:r>
      <w:r w:rsidRPr="00A14196">
        <w:rPr>
          <w:rFonts w:cs="Calibri"/>
          <w:lang w:val="el-GR"/>
        </w:rPr>
        <w:t>έργου</w:t>
      </w:r>
      <w:r w:rsidRPr="00BC20E3">
        <w:rPr>
          <w:rFonts w:eastAsia="TimesNewRomanPSMT" w:cs="Calibri"/>
          <w:lang w:val="el-GR"/>
        </w:rPr>
        <w:t xml:space="preserve"> με την αρχή της ισότητας και τα ενδεχόμενα αποτελέσματά του. Επίσης, οι υποχρεώσεις του Δικαιούχου σχετικά με τη διασφάλιση της ισότητας μεταξύ ανδρών και γυναικών και τη μη διάκριση συμπεριλαμβάνονται τόσο στις Προσκλήσεις των Σχεδίων Χορηγιών όσο και στις σχετικές συμβάσεις που υπογράφονται μεταξύ Δικαιούχου και Ενδιάμεσου Φορέα.</w:t>
      </w:r>
    </w:p>
    <w:p w14:paraId="63F6B4C9" w14:textId="78E65120" w:rsidR="00CD5EEF" w:rsidRPr="00B57AEC" w:rsidRDefault="00CD5EEF" w:rsidP="001C18AE">
      <w:pPr>
        <w:jc w:val="both"/>
        <w:rPr>
          <w:rFonts w:eastAsia="TimesNewRomanPSMT" w:cs="Calibri"/>
          <w:lang w:val="el-GR"/>
        </w:rPr>
      </w:pPr>
      <w:r w:rsidRPr="00B57AEC">
        <w:rPr>
          <w:rFonts w:eastAsia="TimesNewRomanPSMT" w:cs="Calibri"/>
          <w:lang w:val="el-GR"/>
        </w:rPr>
        <w:t xml:space="preserve">Στο πλαίσιο υλοποίησης του  </w:t>
      </w:r>
      <w:r w:rsidRPr="00AC7E7F">
        <w:rPr>
          <w:rFonts w:eastAsia="TimesNewRomanPSMT" w:cs="Calibri"/>
          <w:lang w:val="el-GR"/>
        </w:rPr>
        <w:t>ΕΠ «Ανταγωνιστικότητα και Αειφόρος Ανάπτυξη»</w:t>
      </w:r>
      <w:r w:rsidRPr="00B57AEC">
        <w:rPr>
          <w:rFonts w:eastAsia="TimesNewRomanPSMT" w:cs="Calibri"/>
          <w:b/>
          <w:lang w:val="el-GR"/>
        </w:rPr>
        <w:t xml:space="preserve"> </w:t>
      </w:r>
      <w:r w:rsidRPr="00B57AEC">
        <w:rPr>
          <w:rFonts w:eastAsia="TimesNewRomanPSMT" w:cs="Calibri"/>
          <w:lang w:val="el-GR"/>
        </w:rPr>
        <w:t>ήδη ενεργοποιήθηκε Σχέδιο Χορηγιών, που απευθύνεται σε άνεργες ή μισθωτές γυναίκες, ηλικίας 18 μέχρι 55 ετών</w:t>
      </w:r>
      <w:r w:rsidR="00AC7E7F">
        <w:rPr>
          <w:rFonts w:eastAsia="TimesNewRomanPSMT" w:cs="Calibri"/>
          <w:lang w:val="el-GR"/>
        </w:rPr>
        <w:t>,</w:t>
      </w:r>
      <w:r w:rsidRPr="00B57AEC">
        <w:rPr>
          <w:rFonts w:eastAsia="TimesNewRomanPSMT" w:cs="Calibri"/>
          <w:lang w:val="el-GR"/>
        </w:rPr>
        <w:t xml:space="preserve"> για την έναρξη άσκησης επαγγέλματος ως αυτοεργοδοτούμενες ή συμμετέχουσες σε επιχείρηση ως εταίρος με ποσοστό πέραν του 25%. Ειδικά στην περίπτωση των εταιρειών ή/και συνεταιρισμών ενισχύονται επιχειρήσεις στο εταιρικό κεφάλαιο των οποίων οι γυναίκες συμμετέχουν σε ποσοστό τουλάχιστον 75%, οι οποίες έχουν και την αποκλειστική διαχείρισή τους.  </w:t>
      </w:r>
    </w:p>
    <w:p w14:paraId="0A826F4B" w14:textId="60712B6C" w:rsidR="00CD5EEF" w:rsidRPr="003345E9" w:rsidRDefault="00CD5EEF" w:rsidP="001C18AE">
      <w:pPr>
        <w:jc w:val="both"/>
        <w:rPr>
          <w:rFonts w:eastAsia="TimesNewRomanPSMT" w:cs="Calibri"/>
          <w:lang w:val="el-GR"/>
        </w:rPr>
      </w:pPr>
      <w:r>
        <w:rPr>
          <w:rFonts w:eastAsia="TimesNewRomanPSMT" w:cs="Calibri"/>
          <w:lang w:val="el-GR"/>
        </w:rPr>
        <w:t>Αντίστοιχα, στο</w:t>
      </w:r>
      <w:r w:rsidRPr="00BC20E3">
        <w:rPr>
          <w:rFonts w:eastAsia="TimesNewRomanPSMT" w:cs="Calibri"/>
          <w:b/>
          <w:lang w:val="el-GR"/>
        </w:rPr>
        <w:t xml:space="preserve"> </w:t>
      </w:r>
      <w:r w:rsidRPr="00AC7E7F">
        <w:rPr>
          <w:rFonts w:eastAsia="TimesNewRomanPSMT" w:cs="Calibri"/>
          <w:lang w:val="el-GR"/>
        </w:rPr>
        <w:t>Ε.Π. «Απασχόληση, Ανθρώπινοι Πόροι και Κοινωνική Συνοχή»</w:t>
      </w:r>
      <w:r w:rsidRPr="00BC20E3">
        <w:rPr>
          <w:rFonts w:eastAsia="TimesNewRomanPSMT" w:cs="Calibri"/>
          <w:lang w:val="el-GR"/>
        </w:rPr>
        <w:t xml:space="preserve"> οι αρχές της ισότητας και μη διάκρισης διασφαλίζονται </w:t>
      </w:r>
      <w:r w:rsidR="005319DD">
        <w:rPr>
          <w:rFonts w:eastAsia="TimesNewRomanPSMT" w:cs="Calibri"/>
          <w:lang w:val="el-GR"/>
        </w:rPr>
        <w:t>μεταξύ των άλλων και στο πλαίσιο</w:t>
      </w:r>
      <w:r w:rsidRPr="00BC20E3">
        <w:rPr>
          <w:rFonts w:eastAsia="TimesNewRomanPSMT" w:cs="Calibri"/>
          <w:lang w:val="el-GR"/>
        </w:rPr>
        <w:t xml:space="preserve"> της</w:t>
      </w:r>
      <w:r w:rsidR="00AC7E7F">
        <w:rPr>
          <w:rFonts w:eastAsia="TimesNewRomanPSMT" w:cs="Calibri"/>
          <w:lang w:val="el-GR"/>
        </w:rPr>
        <w:t xml:space="preserve"> Επενδυτικής Προτεραιότητας</w:t>
      </w:r>
      <w:r w:rsidRPr="00BC20E3">
        <w:rPr>
          <w:rFonts w:eastAsia="TimesNewRomanPSMT" w:cs="Calibri"/>
          <w:lang w:val="el-GR"/>
        </w:rPr>
        <w:t xml:space="preserve"> </w:t>
      </w:r>
      <w:r w:rsidR="00AC7E7F">
        <w:rPr>
          <w:rFonts w:eastAsia="TimesNewRomanPSMT" w:cs="Calibri"/>
          <w:lang w:val="el-GR"/>
        </w:rPr>
        <w:t xml:space="preserve">(Επ. Προτ.) </w:t>
      </w:r>
      <w:r w:rsidRPr="00AC7E7F">
        <w:rPr>
          <w:rFonts w:eastAsia="TimesNewRomanPSMT" w:cs="Calibri"/>
          <w:lang w:val="el-GR"/>
        </w:rPr>
        <w:t>9.1</w:t>
      </w:r>
      <w:r w:rsidRPr="00BC20E3">
        <w:rPr>
          <w:rFonts w:eastAsia="TimesNewRomanPSMT" w:cs="Calibri"/>
          <w:lang w:val="el-GR"/>
        </w:rPr>
        <w:t>, όπου περιλαμβάνονται πρόνοιες για προώθηση της απασχόλησης και ενεργού ένταξης ευπαθών ομάδων πληθυσμού</w:t>
      </w:r>
      <w:r w:rsidR="00AC7E7F">
        <w:rPr>
          <w:rFonts w:eastAsia="TimesNewRomanPSMT" w:cs="Calibri"/>
          <w:lang w:val="el-GR"/>
        </w:rPr>
        <w:t>,</w:t>
      </w:r>
      <w:r w:rsidRPr="00BC20E3">
        <w:rPr>
          <w:rFonts w:eastAsia="TimesNewRomanPSMT" w:cs="Calibri"/>
          <w:lang w:val="el-GR"/>
        </w:rPr>
        <w:t xml:space="preserve"> καθώς και ευάλωτων ομάδων που στηρίζονται από επιδόματα</w:t>
      </w:r>
      <w:r w:rsidR="00AC7E7F">
        <w:rPr>
          <w:rFonts w:eastAsia="TimesNewRomanPSMT" w:cs="Calibri"/>
          <w:lang w:val="el-GR"/>
        </w:rPr>
        <w:t xml:space="preserve"> πρόνοιας</w:t>
      </w:r>
      <w:r w:rsidRPr="00BC20E3">
        <w:rPr>
          <w:rFonts w:eastAsia="TimesNewRomanPSMT" w:cs="Calibri"/>
          <w:lang w:val="el-GR"/>
        </w:rPr>
        <w:t xml:space="preserve">, περιλαμβανομένων γυναικών, νέων, ατόμων μεγαλύτερης ηλικίας, ατόμων με αναπηρία, μακροχρόνια ανέργων κλπ. Έως το τέλος του 2016 είχαν προκηρυχθεί τρία (3) Σχέδια Χορηγιών υπό τη μορφή κινήτρων προς τις επιχειρήσεις του ιδιωτικού τομέα για την πρόσληψη ανέργων που ανήκουν σε ευπαθείς ομάδες πληθυσμού. Επιπρόσθετα, στα πλαίσια της </w:t>
      </w:r>
      <w:r w:rsidR="00AC7E7F">
        <w:rPr>
          <w:rFonts w:eastAsia="TimesNewRomanPSMT" w:cs="Calibri"/>
          <w:lang w:val="el-GR"/>
        </w:rPr>
        <w:t xml:space="preserve">Επ. Προτ. </w:t>
      </w:r>
      <w:r w:rsidRPr="00AC7E7F">
        <w:rPr>
          <w:rFonts w:eastAsia="TimesNewRomanPSMT" w:cs="Calibri"/>
          <w:lang w:val="el-GR"/>
        </w:rPr>
        <w:t>9.3</w:t>
      </w:r>
      <w:r w:rsidRPr="00BC20E3">
        <w:rPr>
          <w:rFonts w:eastAsia="TimesNewRomanPSMT" w:cs="Calibri"/>
          <w:lang w:val="el-GR"/>
        </w:rPr>
        <w:t xml:space="preserve"> προνοούνται δράσεις για κοινωνική ένταξη </w:t>
      </w:r>
      <w:r w:rsidRPr="00BC20E3">
        <w:rPr>
          <w:rFonts w:eastAsia="TimesNewRomanPSMT" w:cs="Calibri"/>
          <w:lang w:val="el-GR"/>
        </w:rPr>
        <w:lastRenderedPageBreak/>
        <w:t xml:space="preserve">ευάλωτων μαθητών, επέκτασης του συστήματος αξιολόγησης της αναπηρίας και δράσεις για διασφάλιση της κοινωνικής προστασίας. Στο πλαίσιο αυτό, το 2015 ξεκίνησε η υλοποίηση των έργων «Δράσεις Σχολικής και Κοινωνικής Ένταξης – ΔΡΑΣΕ» και «Επέκταση της Εφαρμογής του Νέου Συστήματος Αξιολόγησης της Αναπηρίας». Αντίστοιχα, για την προώθηση των ίσων ευκαιριών μεταξύ ανδρών και γυναικών, στο πλαίσιο της </w:t>
      </w:r>
      <w:r w:rsidR="00AC7E7F">
        <w:rPr>
          <w:rFonts w:eastAsia="TimesNewRomanPSMT" w:cs="Calibri"/>
          <w:lang w:val="el-GR"/>
        </w:rPr>
        <w:t xml:space="preserve">Επ. Προτ. </w:t>
      </w:r>
      <w:r w:rsidRPr="00BC20E3">
        <w:rPr>
          <w:rFonts w:eastAsia="TimesNewRomanPSMT" w:cs="Calibri"/>
          <w:lang w:val="el-GR"/>
        </w:rPr>
        <w:t>8.1 προβλέπονται δράσεις εργοδότησης ανέργων για παροχή υπηρεσιών φροντίδας και προώθησης της απασχόλησης με ευέλικτες ρυθμίσεις με ειδική στόχευση στις γυναίκες, οι οποίες αναμένεται να προκηρυχθούν εντός του 2017.</w:t>
      </w:r>
      <w:r>
        <w:rPr>
          <w:rFonts w:eastAsia="TimesNewRomanPSMT" w:cs="Calibri"/>
          <w:lang w:val="el-GR"/>
        </w:rPr>
        <w:t xml:space="preserve"> Γ</w:t>
      </w:r>
      <w:r w:rsidRPr="00A458CE">
        <w:rPr>
          <w:rFonts w:eastAsia="TimesNewRomanPSMT" w:cs="Calibri"/>
          <w:lang w:val="el-GR"/>
        </w:rPr>
        <w:t xml:space="preserve">ια τις </w:t>
      </w:r>
      <w:r w:rsidRPr="00AC7E7F">
        <w:rPr>
          <w:rFonts w:eastAsia="TimesNewRomanPSMT" w:cs="Calibri"/>
          <w:lang w:val="el-GR"/>
        </w:rPr>
        <w:t xml:space="preserve">παρεμβάσεις που προβλέπονται στο πλαίσιο των </w:t>
      </w:r>
      <w:r w:rsidR="00AC7E7F">
        <w:rPr>
          <w:rFonts w:eastAsia="TimesNewRomanPSMT" w:cs="Calibri"/>
          <w:lang w:val="el-GR"/>
        </w:rPr>
        <w:t xml:space="preserve">Επ. Προτ. </w:t>
      </w:r>
      <w:r w:rsidRPr="00AC7E7F">
        <w:rPr>
          <w:rFonts w:eastAsia="TimesNewRomanPSMT" w:cs="Calibri"/>
          <w:lang w:val="el-GR"/>
        </w:rPr>
        <w:t xml:space="preserve">9.1, 9.3 </w:t>
      </w:r>
      <w:r w:rsidR="00AA038A">
        <w:rPr>
          <w:rFonts w:eastAsia="TimesNewRomanPSMT" w:cs="Calibri"/>
          <w:lang w:val="el-GR"/>
        </w:rPr>
        <w:t>και</w:t>
      </w:r>
      <w:r w:rsidRPr="00AC7E7F">
        <w:rPr>
          <w:rFonts w:eastAsia="TimesNewRomanPSMT" w:cs="Calibri"/>
          <w:lang w:val="el-GR"/>
        </w:rPr>
        <w:t xml:space="preserve"> 9.5</w:t>
      </w:r>
      <w:r w:rsidRPr="00A458CE">
        <w:rPr>
          <w:rFonts w:eastAsia="TimesNewRomanPSMT" w:cs="Calibri"/>
          <w:lang w:val="el-GR"/>
        </w:rPr>
        <w:t xml:space="preserve"> στα ειδικά κριτήρια επιλογής έργων που έχουν εγκριθεί, περιλαμβάνονται και κριτήρια για τον έλεγχο της συνάφειας των έργων/Σχεδίων και της συμβολής τους στην ενσωμάτωση των εν λόγω οριζόντιων αρχών.</w:t>
      </w:r>
    </w:p>
    <w:p w14:paraId="48F455C8" w14:textId="1E57F4E8" w:rsidR="00CD5EEF" w:rsidRDefault="00CD5EEF" w:rsidP="001C18AE">
      <w:pPr>
        <w:jc w:val="both"/>
        <w:rPr>
          <w:rFonts w:eastAsia="TimesNewRomanPSMT" w:cs="Calibri"/>
          <w:lang w:val="el-GR"/>
        </w:rPr>
      </w:pPr>
      <w:r>
        <w:rPr>
          <w:rFonts w:eastAsia="TimesNewRomanPSMT" w:cs="Calibri"/>
          <w:lang w:val="el-GR"/>
        </w:rPr>
        <w:t xml:space="preserve">Επισημαίνεται </w:t>
      </w:r>
      <w:r w:rsidRPr="00BC20E3">
        <w:rPr>
          <w:rFonts w:eastAsia="TimesNewRomanPSMT" w:cs="Calibri"/>
          <w:lang w:val="el-GR"/>
        </w:rPr>
        <w:t xml:space="preserve">ότι </w:t>
      </w:r>
      <w:r w:rsidRPr="00AA038A">
        <w:rPr>
          <w:rFonts w:eastAsia="TimesNewRomanPSMT" w:cs="Calibri"/>
          <w:lang w:val="el-GR"/>
        </w:rPr>
        <w:t>η</w:t>
      </w:r>
      <w:r w:rsidRPr="00BC20E3">
        <w:rPr>
          <w:rFonts w:eastAsia="TimesNewRomanPSMT" w:cs="Calibri"/>
          <w:b/>
          <w:lang w:val="el-GR"/>
        </w:rPr>
        <w:t xml:space="preserve"> </w:t>
      </w:r>
      <w:r w:rsidRPr="00AA038A">
        <w:rPr>
          <w:rFonts w:eastAsia="TimesNewRomanPSMT" w:cs="Calibri"/>
          <w:lang w:val="el-GR"/>
        </w:rPr>
        <w:t>αξιολόγηση των επιπτώσεων των παρεμβάσεων των προαναφερόμενων ΕΠ</w:t>
      </w:r>
      <w:r w:rsidRPr="00BC20E3">
        <w:rPr>
          <w:rFonts w:eastAsia="TimesNewRomanPSMT" w:cs="Calibri"/>
          <w:lang w:val="el-GR"/>
        </w:rPr>
        <w:t xml:space="preserve"> στις ευρωπαϊκές και εθνικές πολιτικές της Κύπρου</w:t>
      </w:r>
      <w:r w:rsidR="00AA038A">
        <w:rPr>
          <w:rFonts w:eastAsia="TimesNewRomanPSMT" w:cs="Calibri"/>
          <w:lang w:val="el-GR"/>
        </w:rPr>
        <w:t>,</w:t>
      </w:r>
      <w:r w:rsidRPr="00BC20E3">
        <w:rPr>
          <w:rFonts w:eastAsia="TimesNewRomanPSMT" w:cs="Calibri"/>
          <w:lang w:val="el-GR"/>
        </w:rPr>
        <w:t xml:space="preserve"> στους τομείς της ισότητας των φύλων, της μη διάκρισης και της </w:t>
      </w:r>
      <w:r>
        <w:rPr>
          <w:rFonts w:eastAsia="TimesNewRomanPSMT" w:cs="Calibri"/>
          <w:lang w:val="el-GR"/>
        </w:rPr>
        <w:t>προσβασιμότητας</w:t>
      </w:r>
      <w:r w:rsidRPr="00BC20E3">
        <w:rPr>
          <w:rFonts w:eastAsia="TimesNewRomanPSMT" w:cs="Calibri"/>
          <w:lang w:val="el-GR"/>
        </w:rPr>
        <w:t xml:space="preserve">, αποτελεί ειδικό θεματικό πεδίο αξιολόγησης, η οποία </w:t>
      </w:r>
      <w:r w:rsidR="005319DD">
        <w:rPr>
          <w:rFonts w:eastAsia="TimesNewRomanPSMT" w:cs="Calibri"/>
          <w:lang w:val="el-GR"/>
        </w:rPr>
        <w:t>προγραμματίζεται</w:t>
      </w:r>
      <w:r w:rsidRPr="00BC20E3">
        <w:rPr>
          <w:rFonts w:eastAsia="TimesNewRomanPSMT" w:cs="Calibri"/>
          <w:lang w:val="el-GR"/>
        </w:rPr>
        <w:t xml:space="preserve"> </w:t>
      </w:r>
      <w:r w:rsidR="005319DD">
        <w:rPr>
          <w:rFonts w:eastAsia="TimesNewRomanPSMT" w:cs="Calibri"/>
          <w:lang w:val="el-GR"/>
        </w:rPr>
        <w:t>να εκπονηθεί</w:t>
      </w:r>
      <w:r w:rsidRPr="00BC20E3">
        <w:rPr>
          <w:rFonts w:eastAsia="TimesNewRomanPSMT" w:cs="Calibri"/>
          <w:lang w:val="el-GR"/>
        </w:rPr>
        <w:t xml:space="preserve"> το 2019.  </w:t>
      </w:r>
    </w:p>
    <w:p w14:paraId="608BA2B6" w14:textId="54D1B852" w:rsidR="00CD5EEF" w:rsidRDefault="00CD5EEF" w:rsidP="001C18AE">
      <w:pPr>
        <w:jc w:val="both"/>
        <w:rPr>
          <w:szCs w:val="24"/>
          <w:lang w:val="el-GR"/>
        </w:rPr>
      </w:pPr>
      <w:r w:rsidRPr="00413C33">
        <w:rPr>
          <w:rFonts w:cs="Calibri"/>
          <w:lang w:val="el-GR"/>
        </w:rPr>
        <w:t xml:space="preserve">Το </w:t>
      </w:r>
      <w:r w:rsidRPr="00AA038A">
        <w:rPr>
          <w:rFonts w:cs="Calibri"/>
          <w:lang w:val="el-GR"/>
        </w:rPr>
        <w:t>Πρόγραμμα Αγροτικής Ανάπτυξης 2014-2020</w:t>
      </w:r>
      <w:r w:rsidRPr="00413C33">
        <w:rPr>
          <w:rFonts w:cs="Calibri"/>
          <w:lang w:val="el-GR"/>
        </w:rPr>
        <w:t xml:space="preserve">, τόσο ως προς τη γενική και ειδική στόχευση του, όσο και ως προς την ανάλυση του σε μέτρα, δε συνδέεται, ούτε εξυπηρετεί με άμεσο τρόπο τις πολιτικές για την ισότητα μεταξύ ανδρών και γυναικών και τη μη διάκριση, καθώς αυτές συνδέονται, εξ αντικειμένου, με τις προτεραιότητες και κατευθύνσεις κυρίως του </w:t>
      </w:r>
      <w:r w:rsidR="00AA038A">
        <w:rPr>
          <w:rFonts w:cs="Calibri"/>
          <w:lang w:val="el-GR"/>
        </w:rPr>
        <w:t>ΕΚΤ</w:t>
      </w:r>
      <w:r w:rsidRPr="00413C33">
        <w:rPr>
          <w:rFonts w:cs="Calibri"/>
          <w:lang w:val="el-GR"/>
        </w:rPr>
        <w:t xml:space="preserve">. </w:t>
      </w:r>
      <w:r w:rsidRPr="00F508E8">
        <w:rPr>
          <w:szCs w:val="24"/>
          <w:lang w:val="el-GR"/>
        </w:rPr>
        <w:t xml:space="preserve">Συνάφεια με τις αρχές αυτές δύναται να στοιχειοθετηθεί, στο επίπεδο της στρατηγικής του </w:t>
      </w:r>
      <w:r w:rsidR="00AA038A">
        <w:rPr>
          <w:szCs w:val="24"/>
          <w:lang w:val="el-GR"/>
        </w:rPr>
        <w:t>ΠΑΑ</w:t>
      </w:r>
      <w:r w:rsidRPr="00F508E8">
        <w:rPr>
          <w:szCs w:val="24"/>
          <w:lang w:val="el-GR"/>
        </w:rPr>
        <w:t xml:space="preserve"> και με έμμεσο τρόπο, μέσω της Προτεραιότητας 6 για την Αγροτική Ανάπτυξη, η οποία με τη σειρά της υποστηρίζεται από α) τα Μέτρα 4 και 6, τα οποία προνοούν τη δημιουργία βιώσιμων </w:t>
      </w:r>
      <w:r w:rsidRPr="005E4882">
        <w:rPr>
          <w:rFonts w:eastAsia="TimesNewRomanPSMT" w:cs="Calibri"/>
          <w:lang w:val="el-GR"/>
        </w:rPr>
        <w:t>εκμεταλλεύσεων</w:t>
      </w:r>
      <w:r w:rsidRPr="00F508E8">
        <w:rPr>
          <w:szCs w:val="24"/>
          <w:lang w:val="el-GR"/>
        </w:rPr>
        <w:t xml:space="preserve"> και αποσκοπούν μεταξύ άλλων στη δημιουργία θέσεων εργασίας για τον τοπικό πληθυσμό και ειδικά τους νέους, και β) τα Μέτρα 7 και 19 που αποσκοπούν στη δημιουργία ελκυστικών αγροτικών περιοχών.</w:t>
      </w:r>
    </w:p>
    <w:p w14:paraId="67EDFDC7" w14:textId="71FF5F51" w:rsidR="00CD5EEF" w:rsidRPr="00FB0567" w:rsidRDefault="00CD5EEF" w:rsidP="001C18AE">
      <w:pPr>
        <w:jc w:val="both"/>
        <w:rPr>
          <w:szCs w:val="24"/>
          <w:lang w:val="el-GR"/>
        </w:rPr>
      </w:pPr>
      <w:r>
        <w:rPr>
          <w:szCs w:val="24"/>
          <w:lang w:val="el-GR"/>
        </w:rPr>
        <w:t xml:space="preserve">Τέλος, στο </w:t>
      </w:r>
      <w:r w:rsidRPr="00AA038A">
        <w:rPr>
          <w:szCs w:val="24"/>
          <w:lang w:val="el-GR"/>
        </w:rPr>
        <w:t>πλαίσιο του ΕΠ «Θάλασσα 2014-2020»</w:t>
      </w:r>
      <w:r>
        <w:rPr>
          <w:szCs w:val="24"/>
          <w:lang w:val="el-GR"/>
        </w:rPr>
        <w:t xml:space="preserve"> έχουν γίνει ανάλογες ενέργειες ώστε ο</w:t>
      </w:r>
      <w:r w:rsidRPr="00FB0567">
        <w:rPr>
          <w:szCs w:val="24"/>
          <w:lang w:val="el-GR"/>
        </w:rPr>
        <w:t xml:space="preserve">ι Ενδιάμεσοι Φορείς, οι Δικαιούχοι και οι άλλοι εμπλεκόμενοι φορείς να λαμβάνουν τα κατάλληλα μέτρα προκειμένου να </w:t>
      </w:r>
      <w:r>
        <w:rPr>
          <w:szCs w:val="24"/>
          <w:lang w:val="el-GR"/>
        </w:rPr>
        <w:t xml:space="preserve">τηρούνται οι προαναφερόμενες οριζόντιες αρχές </w:t>
      </w:r>
      <w:r w:rsidRPr="00FB0567">
        <w:rPr>
          <w:szCs w:val="24"/>
          <w:lang w:val="el-GR"/>
        </w:rPr>
        <w:t xml:space="preserve">κατά τα διάφορα στάδια υλοποίησης των δράσεων </w:t>
      </w:r>
      <w:r>
        <w:rPr>
          <w:szCs w:val="24"/>
          <w:lang w:val="el-GR"/>
        </w:rPr>
        <w:t>του Προγράμματος</w:t>
      </w:r>
      <w:r w:rsidRPr="00FB0567">
        <w:rPr>
          <w:szCs w:val="24"/>
          <w:lang w:val="el-GR"/>
        </w:rPr>
        <w:t xml:space="preserve"> και ειδ</w:t>
      </w:r>
      <w:r>
        <w:rPr>
          <w:szCs w:val="24"/>
          <w:lang w:val="el-GR"/>
        </w:rPr>
        <w:t>ικότερα της πρόσβασης σε αυτές. Επίσης, σ</w:t>
      </w:r>
      <w:r w:rsidRPr="00FB0567">
        <w:rPr>
          <w:szCs w:val="24"/>
          <w:lang w:val="el-GR"/>
        </w:rPr>
        <w:t>το Φύλλο Αξιολόγησης των Έργων έχει συμπεριληφθεί κριτήριο με το οποίο</w:t>
      </w:r>
      <w:r>
        <w:rPr>
          <w:szCs w:val="24"/>
          <w:lang w:val="el-GR"/>
        </w:rPr>
        <w:t xml:space="preserve"> </w:t>
      </w:r>
      <w:r w:rsidRPr="00FB0567">
        <w:rPr>
          <w:szCs w:val="24"/>
          <w:lang w:val="el-GR"/>
        </w:rPr>
        <w:t>ελέγχεται ο βαθμός συμβολής του έργου στην ισότητα των δύο φύλων και στη</w:t>
      </w:r>
      <w:r w:rsidRPr="00FB0567">
        <w:rPr>
          <w:lang w:val="el-GR"/>
        </w:rPr>
        <w:t xml:space="preserve"> </w:t>
      </w:r>
      <w:r w:rsidRPr="00FB0567">
        <w:rPr>
          <w:szCs w:val="24"/>
          <w:lang w:val="el-GR"/>
        </w:rPr>
        <w:t>μη διάκριση.</w:t>
      </w:r>
    </w:p>
    <w:p w14:paraId="302D9715" w14:textId="6CF8AB59" w:rsidR="00CD5EEF" w:rsidRDefault="00CD5EEF" w:rsidP="001C18AE">
      <w:pPr>
        <w:jc w:val="both"/>
        <w:rPr>
          <w:rFonts w:cs="Calibri"/>
          <w:lang w:val="el-GR"/>
        </w:rPr>
      </w:pPr>
      <w:r>
        <w:rPr>
          <w:rFonts w:cs="Calibri"/>
          <w:lang w:val="el-GR"/>
        </w:rPr>
        <w:t>Στην</w:t>
      </w:r>
      <w:r w:rsidRPr="00FB0567">
        <w:rPr>
          <w:rFonts w:cs="Calibri"/>
          <w:lang w:val="el-GR"/>
        </w:rPr>
        <w:t xml:space="preserve"> </w:t>
      </w:r>
      <w:r w:rsidRPr="00AA038A">
        <w:rPr>
          <w:rFonts w:cs="Calibri"/>
          <w:lang w:val="el-GR"/>
        </w:rPr>
        <w:t xml:space="preserve">υλοποίηση του προγράμματος μέχρι </w:t>
      </w:r>
      <w:r w:rsidR="00AA038A">
        <w:rPr>
          <w:rFonts w:cs="Calibri"/>
          <w:lang w:val="el-GR"/>
        </w:rPr>
        <w:t>τις</w:t>
      </w:r>
      <w:r w:rsidRPr="00AA038A">
        <w:rPr>
          <w:rFonts w:cs="Calibri"/>
          <w:lang w:val="el-GR"/>
        </w:rPr>
        <w:t xml:space="preserve"> 31/12/2016</w:t>
      </w:r>
      <w:r w:rsidRPr="00FB0567">
        <w:rPr>
          <w:rFonts w:cs="Calibri"/>
          <w:lang w:val="el-GR"/>
        </w:rPr>
        <w:t>, ο ΕΦ έχει</w:t>
      </w:r>
      <w:r>
        <w:rPr>
          <w:rFonts w:cs="Calibri"/>
          <w:lang w:val="el-GR"/>
        </w:rPr>
        <w:t xml:space="preserve"> </w:t>
      </w:r>
      <w:r w:rsidRPr="00FB0567">
        <w:rPr>
          <w:rFonts w:cs="Calibri"/>
          <w:lang w:val="el-GR"/>
        </w:rPr>
        <w:t>εξασφαλίσει για τα 6 Σχέδια Χορηγιών που υλοποιήθηκαν ή υλοποιούνται,</w:t>
      </w:r>
      <w:r>
        <w:rPr>
          <w:rFonts w:cs="Calibri"/>
          <w:lang w:val="el-GR"/>
        </w:rPr>
        <w:t xml:space="preserve"> </w:t>
      </w:r>
      <w:r w:rsidRPr="00FB0567">
        <w:rPr>
          <w:rFonts w:cs="Calibri"/>
          <w:lang w:val="el-GR"/>
        </w:rPr>
        <w:t xml:space="preserve">γνωματεύσεις από τις αρμόδιες υπηρεσίες για τη διασφάλιση της συμβατότητας με </w:t>
      </w:r>
      <w:r>
        <w:rPr>
          <w:rFonts w:cs="Calibri"/>
          <w:lang w:val="el-GR"/>
        </w:rPr>
        <w:t xml:space="preserve">τις </w:t>
      </w:r>
      <w:r w:rsidRPr="00FB0567">
        <w:rPr>
          <w:rFonts w:cs="Calibri"/>
          <w:lang w:val="el-GR"/>
        </w:rPr>
        <w:t>εθνικές και ενωσιακές πολιτικές</w:t>
      </w:r>
      <w:r w:rsidR="00AA038A">
        <w:rPr>
          <w:rFonts w:cs="Calibri"/>
          <w:lang w:val="el-GR"/>
        </w:rPr>
        <w:t>,</w:t>
      </w:r>
      <w:r w:rsidRPr="00FB0567">
        <w:rPr>
          <w:rFonts w:cs="Calibri"/>
          <w:lang w:val="el-GR"/>
        </w:rPr>
        <w:t xml:space="preserve"> για την ισότητα των δύο φύλων και τη μη διάκριση και</w:t>
      </w:r>
      <w:r>
        <w:rPr>
          <w:rFonts w:cs="Calibri"/>
          <w:lang w:val="el-GR"/>
        </w:rPr>
        <w:t xml:space="preserve"> </w:t>
      </w:r>
      <w:r w:rsidRPr="00FB0567">
        <w:rPr>
          <w:rFonts w:cs="Calibri"/>
          <w:lang w:val="el-GR"/>
        </w:rPr>
        <w:t>σε όλες τις περιπτώσεις η συμβολή των Σχεδίων λόγω της φύσης τους είναι</w:t>
      </w:r>
      <w:r>
        <w:rPr>
          <w:rFonts w:cs="Calibri"/>
          <w:lang w:val="el-GR"/>
        </w:rPr>
        <w:t xml:space="preserve"> </w:t>
      </w:r>
      <w:r w:rsidRPr="00FB0567">
        <w:rPr>
          <w:rFonts w:cs="Calibri"/>
          <w:lang w:val="el-GR"/>
        </w:rPr>
        <w:t>«ουδέτερη».</w:t>
      </w:r>
    </w:p>
    <w:p w14:paraId="6009C7A9" w14:textId="77777777" w:rsidR="00CD5EEF" w:rsidRDefault="00CD5EEF" w:rsidP="001C18AE">
      <w:pPr>
        <w:spacing w:after="0" w:line="240" w:lineRule="auto"/>
        <w:rPr>
          <w:lang w:val="el-GR"/>
        </w:rPr>
      </w:pPr>
    </w:p>
    <w:p w14:paraId="723D7FB9" w14:textId="77777777" w:rsidR="0081076F" w:rsidRPr="00853881" w:rsidRDefault="0081076F" w:rsidP="001D583B">
      <w:pPr>
        <w:numPr>
          <w:ilvl w:val="0"/>
          <w:numId w:val="26"/>
        </w:numPr>
        <w:ind w:left="360"/>
        <w:rPr>
          <w:b/>
          <w:i/>
          <w:lang w:val="el-GR"/>
        </w:rPr>
      </w:pPr>
      <w:r w:rsidRPr="00853881">
        <w:rPr>
          <w:b/>
          <w:i/>
          <w:lang w:val="el-GR"/>
        </w:rPr>
        <w:t>βιώσιμη ανάπτυξη (προστασία του περιβάλλοντος, αποδοτικότητα των πόρων, μετριασμός της κλιματικής αλλαγής και προσαρμογή σε αυτήν, βιοποικιλότητα και πρόληψη κινδύνων).</w:t>
      </w:r>
    </w:p>
    <w:p w14:paraId="3C59DA89" w14:textId="4840B52C" w:rsidR="00CD5EEF" w:rsidRDefault="00CD5EEF" w:rsidP="001C18AE">
      <w:pPr>
        <w:jc w:val="both"/>
        <w:rPr>
          <w:rFonts w:cs="Calibri"/>
          <w:lang w:val="el-GR"/>
        </w:rPr>
      </w:pPr>
      <w:r>
        <w:rPr>
          <w:rFonts w:cs="Calibri"/>
          <w:lang w:val="el-GR"/>
        </w:rPr>
        <w:t>Καθώς η</w:t>
      </w:r>
      <w:r w:rsidRPr="00B57AEC">
        <w:rPr>
          <w:rFonts w:cs="Calibri"/>
          <w:lang w:val="el-GR"/>
        </w:rPr>
        <w:t xml:space="preserve"> επίτευξη συνθηκών αειφόρου ανάπτυξης, αποτελεί βασική προτεραιότητα </w:t>
      </w:r>
      <w:r w:rsidR="00853881">
        <w:rPr>
          <w:rFonts w:cs="Calibri"/>
          <w:lang w:val="el-GR"/>
        </w:rPr>
        <w:t>της</w:t>
      </w:r>
      <w:r w:rsidRPr="00B57AEC">
        <w:rPr>
          <w:rFonts w:cs="Calibri"/>
          <w:lang w:val="el-GR"/>
        </w:rPr>
        <w:t xml:space="preserve"> </w:t>
      </w:r>
      <w:r>
        <w:rPr>
          <w:rFonts w:cs="Calibri"/>
          <w:lang w:val="el-GR"/>
        </w:rPr>
        <w:t xml:space="preserve">ΣΕΣ, </w:t>
      </w:r>
      <w:r w:rsidRPr="00B57AEC">
        <w:rPr>
          <w:rFonts w:cs="Calibri"/>
          <w:lang w:val="el-GR"/>
        </w:rPr>
        <w:t>τα μέτρα και οι δράσεις που συγχρηματοδοτούνται από τα ΕΔΕΤ, θα πρέπει να συνάδουν με την αρχή της αειφόρου ανάπτυξης, είτε εντάσσονται σε τομείς σχετικούς με το περιβάλλον, είτε όχι.</w:t>
      </w:r>
      <w:r>
        <w:rPr>
          <w:rFonts w:cs="Calibri"/>
          <w:lang w:val="el-GR"/>
        </w:rPr>
        <w:t xml:space="preserve"> Η επίδρασή τους στο </w:t>
      </w:r>
      <w:r>
        <w:rPr>
          <w:rFonts w:cs="Calibri"/>
          <w:lang w:val="el-GR"/>
        </w:rPr>
        <w:lastRenderedPageBreak/>
        <w:t xml:space="preserve">περιβάλλον επιδιώκεται </w:t>
      </w:r>
      <w:r w:rsidRPr="008B61AB">
        <w:rPr>
          <w:rFonts w:cs="Calibri"/>
          <w:lang w:val="el-GR"/>
        </w:rPr>
        <w:t>να είναι θετική ή τουλάχιστον ουδέτερη</w:t>
      </w:r>
      <w:r>
        <w:rPr>
          <w:rFonts w:cs="Calibri"/>
          <w:lang w:val="el-GR"/>
        </w:rPr>
        <w:t xml:space="preserve"> ενώ σε περίπτωση ύπαρξης αρνητικών επιπτώσεων</w:t>
      </w:r>
      <w:r w:rsidRPr="008B61AB">
        <w:rPr>
          <w:rFonts w:cs="Calibri"/>
          <w:lang w:val="el-GR"/>
        </w:rPr>
        <w:t>, η ευθύνη για την αποκατάσταση των ζημιών βαραίνει τον δικαιούχο, ως προνοείται από την αρχή «ο ρυπαίνων πληρώνει», η οποία διέπει τις εθνικές νομοθεσίες που αφορούν στο περιβάλλον.</w:t>
      </w:r>
    </w:p>
    <w:p w14:paraId="5E219D33" w14:textId="77777777" w:rsidR="00CD5EEF" w:rsidRDefault="00CD5EEF" w:rsidP="001C18AE">
      <w:pPr>
        <w:jc w:val="both"/>
        <w:rPr>
          <w:rFonts w:cs="Calibri"/>
          <w:lang w:val="el-GR"/>
        </w:rPr>
      </w:pPr>
      <w:r>
        <w:rPr>
          <w:rFonts w:cs="Calibri"/>
          <w:lang w:val="el-GR"/>
        </w:rPr>
        <w:t>Ο</w:t>
      </w:r>
      <w:r w:rsidRPr="00B57AEC">
        <w:rPr>
          <w:rFonts w:cs="Calibri"/>
          <w:lang w:val="el-GR"/>
        </w:rPr>
        <w:t xml:space="preserve">ι </w:t>
      </w:r>
      <w:r w:rsidRPr="00CD6DE2">
        <w:rPr>
          <w:rFonts w:cs="Calibri"/>
          <w:b/>
          <w:lang w:val="el-GR"/>
        </w:rPr>
        <w:t>απαιτήσεις των οριζόντιων πολιτικών της ΕΕ σχετικά με τη βιώσιμη ανάπτυξη</w:t>
      </w:r>
      <w:r w:rsidRPr="00B57AEC">
        <w:rPr>
          <w:rFonts w:cs="Calibri"/>
          <w:lang w:val="el-GR"/>
        </w:rPr>
        <w:t xml:space="preserve"> λαμβάνονται υπόψη, τόσο στο επίπεδο του σχεδιασμού των Επιχειρησιακών Προγραμμάτων, όσο και στο επίπεδο της επιλογής των έργων που χρηματοδοτούνται από αυτά. </w:t>
      </w:r>
      <w:r>
        <w:rPr>
          <w:rFonts w:cs="Calibri"/>
          <w:lang w:val="el-GR"/>
        </w:rPr>
        <w:t xml:space="preserve">Σύμφωνα με τις </w:t>
      </w:r>
      <w:r w:rsidRPr="00B33256">
        <w:rPr>
          <w:rFonts w:cs="Calibri"/>
          <w:b/>
          <w:lang w:val="el-GR"/>
        </w:rPr>
        <w:t>Εγκυκλίους 1 &amp; 9 της Δ.Α.,</w:t>
      </w:r>
      <w:r>
        <w:rPr>
          <w:rFonts w:cs="Calibri"/>
          <w:lang w:val="el-GR"/>
        </w:rPr>
        <w:t xml:space="preserve"> γ</w:t>
      </w:r>
      <w:r w:rsidRPr="001B345F">
        <w:rPr>
          <w:rFonts w:cs="Calibri" w:hint="eastAsia"/>
          <w:lang w:val="el-GR"/>
        </w:rPr>
        <w:t>ια</w:t>
      </w:r>
      <w:r w:rsidRPr="001B345F">
        <w:rPr>
          <w:rFonts w:cs="Calibri"/>
          <w:lang w:val="el-GR"/>
        </w:rPr>
        <w:t xml:space="preserve"> </w:t>
      </w:r>
      <w:r w:rsidRPr="001B345F">
        <w:rPr>
          <w:rFonts w:cs="Calibri" w:hint="eastAsia"/>
          <w:lang w:val="el-GR"/>
        </w:rPr>
        <w:t>τη</w:t>
      </w:r>
      <w:r w:rsidRPr="001B345F">
        <w:rPr>
          <w:rFonts w:cs="Calibri"/>
          <w:lang w:val="el-GR"/>
        </w:rPr>
        <w:t xml:space="preserve"> </w:t>
      </w:r>
      <w:r w:rsidRPr="001B345F">
        <w:rPr>
          <w:rFonts w:cs="Calibri" w:hint="eastAsia"/>
          <w:lang w:val="el-GR"/>
        </w:rPr>
        <w:t>συμβατότητα</w:t>
      </w:r>
      <w:r w:rsidRPr="001B345F">
        <w:rPr>
          <w:rFonts w:cs="Calibri"/>
          <w:lang w:val="el-GR"/>
        </w:rPr>
        <w:t xml:space="preserve"> </w:t>
      </w:r>
      <w:r w:rsidRPr="001B345F">
        <w:rPr>
          <w:rFonts w:cs="Calibri" w:hint="eastAsia"/>
          <w:lang w:val="el-GR"/>
        </w:rPr>
        <w:t>των</w:t>
      </w:r>
      <w:r w:rsidRPr="001B345F">
        <w:rPr>
          <w:rFonts w:cs="Calibri"/>
          <w:lang w:val="el-GR"/>
        </w:rPr>
        <w:t xml:space="preserve"> </w:t>
      </w:r>
      <w:r w:rsidRPr="001B345F">
        <w:rPr>
          <w:rFonts w:cs="Calibri" w:hint="eastAsia"/>
          <w:lang w:val="el-GR"/>
        </w:rPr>
        <w:t>συγχρηματοδοτουμένων</w:t>
      </w:r>
      <w:r w:rsidRPr="001B345F">
        <w:rPr>
          <w:rFonts w:cs="Calibri"/>
          <w:lang w:val="el-GR"/>
        </w:rPr>
        <w:t xml:space="preserve"> </w:t>
      </w:r>
      <w:r w:rsidRPr="001B345F">
        <w:rPr>
          <w:rFonts w:cs="Calibri" w:hint="eastAsia"/>
          <w:lang w:val="el-GR"/>
        </w:rPr>
        <w:t>έργων</w:t>
      </w:r>
      <w:r w:rsidRPr="001B345F">
        <w:rPr>
          <w:rFonts w:cs="Calibri"/>
          <w:lang w:val="el-GR"/>
        </w:rPr>
        <w:t xml:space="preserve"> </w:t>
      </w:r>
      <w:r w:rsidRPr="001B345F">
        <w:rPr>
          <w:rFonts w:cs="Calibri" w:hint="eastAsia"/>
          <w:lang w:val="el-GR"/>
        </w:rPr>
        <w:t>με</w:t>
      </w:r>
      <w:r w:rsidRPr="001B345F">
        <w:rPr>
          <w:rFonts w:cs="Calibri"/>
          <w:lang w:val="el-GR"/>
        </w:rPr>
        <w:t xml:space="preserve"> </w:t>
      </w:r>
      <w:r w:rsidRPr="001B345F">
        <w:rPr>
          <w:rFonts w:cs="Calibri" w:hint="eastAsia"/>
          <w:lang w:val="el-GR"/>
        </w:rPr>
        <w:t>τις</w:t>
      </w:r>
      <w:r w:rsidRPr="001B345F">
        <w:rPr>
          <w:rFonts w:cs="Calibri"/>
          <w:lang w:val="el-GR"/>
        </w:rPr>
        <w:t xml:space="preserve"> </w:t>
      </w:r>
      <w:r w:rsidRPr="001B345F">
        <w:rPr>
          <w:rFonts w:cs="Calibri" w:hint="eastAsia"/>
          <w:lang w:val="el-GR"/>
        </w:rPr>
        <w:t>ενωσιακές</w:t>
      </w:r>
      <w:r w:rsidRPr="001B345F">
        <w:rPr>
          <w:rFonts w:cs="Calibri"/>
          <w:lang w:val="el-GR"/>
        </w:rPr>
        <w:t xml:space="preserve"> </w:t>
      </w:r>
      <w:r w:rsidRPr="001B345F">
        <w:rPr>
          <w:rFonts w:cs="Calibri" w:hint="eastAsia"/>
          <w:lang w:val="el-GR"/>
        </w:rPr>
        <w:t>και</w:t>
      </w:r>
      <w:r w:rsidRPr="001B345F">
        <w:rPr>
          <w:rFonts w:cs="Calibri"/>
          <w:lang w:val="el-GR"/>
        </w:rPr>
        <w:t xml:space="preserve"> </w:t>
      </w:r>
      <w:r w:rsidRPr="001B345F">
        <w:rPr>
          <w:rFonts w:cs="Calibri" w:hint="eastAsia"/>
          <w:lang w:val="el-GR"/>
        </w:rPr>
        <w:t>εθνικές</w:t>
      </w:r>
      <w:r w:rsidRPr="001B345F">
        <w:rPr>
          <w:rFonts w:cs="Calibri"/>
          <w:lang w:val="el-GR"/>
        </w:rPr>
        <w:t xml:space="preserve"> </w:t>
      </w:r>
      <w:r w:rsidRPr="001B345F">
        <w:rPr>
          <w:rFonts w:cs="Calibri" w:hint="eastAsia"/>
          <w:lang w:val="el-GR"/>
        </w:rPr>
        <w:t>πολιτικές</w:t>
      </w:r>
      <w:r w:rsidRPr="001B345F">
        <w:rPr>
          <w:rFonts w:cs="Calibri"/>
          <w:lang w:val="el-GR"/>
        </w:rPr>
        <w:t xml:space="preserve"> </w:t>
      </w:r>
      <w:r w:rsidRPr="001B345F">
        <w:rPr>
          <w:rFonts w:cs="Calibri" w:hint="eastAsia"/>
          <w:lang w:val="el-GR"/>
        </w:rPr>
        <w:t>για</w:t>
      </w:r>
      <w:r w:rsidRPr="001B345F">
        <w:rPr>
          <w:rFonts w:cs="Calibri"/>
          <w:lang w:val="el-GR"/>
        </w:rPr>
        <w:t xml:space="preserve"> </w:t>
      </w:r>
      <w:r w:rsidRPr="001B345F">
        <w:rPr>
          <w:rFonts w:cs="Calibri" w:hint="eastAsia"/>
          <w:lang w:val="el-GR"/>
        </w:rPr>
        <w:t>τη</w:t>
      </w:r>
      <w:r w:rsidRPr="001B345F">
        <w:rPr>
          <w:rFonts w:cs="Calibri"/>
          <w:lang w:val="el-GR"/>
        </w:rPr>
        <w:t xml:space="preserve"> </w:t>
      </w:r>
      <w:r w:rsidRPr="001B345F">
        <w:rPr>
          <w:rFonts w:cs="Calibri" w:hint="eastAsia"/>
          <w:lang w:val="el-GR"/>
        </w:rPr>
        <w:t>διαφύλαξη</w:t>
      </w:r>
      <w:r w:rsidRPr="001B345F">
        <w:rPr>
          <w:rFonts w:cs="Calibri"/>
          <w:lang w:val="el-GR"/>
        </w:rPr>
        <w:t xml:space="preserve">, </w:t>
      </w:r>
      <w:r w:rsidRPr="001B345F">
        <w:rPr>
          <w:rFonts w:cs="Calibri" w:hint="eastAsia"/>
          <w:lang w:val="el-GR"/>
        </w:rPr>
        <w:t>προστασία</w:t>
      </w:r>
      <w:r w:rsidRPr="001B345F">
        <w:rPr>
          <w:rFonts w:cs="Calibri"/>
          <w:lang w:val="el-GR"/>
        </w:rPr>
        <w:t xml:space="preserve"> </w:t>
      </w:r>
      <w:r w:rsidRPr="001B345F">
        <w:rPr>
          <w:rFonts w:cs="Calibri" w:hint="eastAsia"/>
          <w:lang w:val="el-GR"/>
        </w:rPr>
        <w:t>και</w:t>
      </w:r>
      <w:r w:rsidRPr="001B345F">
        <w:rPr>
          <w:rFonts w:cs="Calibri"/>
          <w:lang w:val="el-GR"/>
        </w:rPr>
        <w:t xml:space="preserve"> </w:t>
      </w:r>
      <w:r w:rsidRPr="001B345F">
        <w:rPr>
          <w:rFonts w:cs="Calibri" w:hint="eastAsia"/>
          <w:lang w:val="el-GR"/>
        </w:rPr>
        <w:t>βελτίωση</w:t>
      </w:r>
      <w:r w:rsidRPr="001B345F">
        <w:rPr>
          <w:rFonts w:cs="Calibri"/>
          <w:lang w:val="el-GR"/>
        </w:rPr>
        <w:t xml:space="preserve"> </w:t>
      </w:r>
      <w:r w:rsidRPr="001B345F">
        <w:rPr>
          <w:rFonts w:cs="Calibri" w:hint="eastAsia"/>
          <w:lang w:val="el-GR"/>
        </w:rPr>
        <w:t>του</w:t>
      </w:r>
      <w:r w:rsidRPr="001B345F">
        <w:rPr>
          <w:rFonts w:cs="Calibri"/>
          <w:lang w:val="el-GR"/>
        </w:rPr>
        <w:t xml:space="preserve"> </w:t>
      </w:r>
      <w:r w:rsidRPr="001B345F">
        <w:rPr>
          <w:rFonts w:cs="Calibri" w:hint="eastAsia"/>
          <w:lang w:val="el-GR"/>
        </w:rPr>
        <w:t>περιβάλλοντος</w:t>
      </w:r>
      <w:r w:rsidRPr="001B345F">
        <w:rPr>
          <w:rFonts w:cs="Calibri"/>
          <w:lang w:val="el-GR"/>
        </w:rPr>
        <w:t xml:space="preserve"> </w:t>
      </w:r>
      <w:r w:rsidRPr="001B345F">
        <w:rPr>
          <w:rFonts w:cs="Calibri" w:hint="eastAsia"/>
          <w:lang w:val="el-GR"/>
        </w:rPr>
        <w:t>και</w:t>
      </w:r>
      <w:r w:rsidRPr="001B345F">
        <w:rPr>
          <w:rFonts w:cs="Calibri"/>
          <w:lang w:val="el-GR"/>
        </w:rPr>
        <w:t xml:space="preserve"> </w:t>
      </w:r>
      <w:r w:rsidRPr="001B345F">
        <w:rPr>
          <w:rFonts w:cs="Calibri" w:hint="eastAsia"/>
          <w:lang w:val="el-GR"/>
        </w:rPr>
        <w:t>τη</w:t>
      </w:r>
      <w:r w:rsidRPr="001B345F">
        <w:rPr>
          <w:rFonts w:cs="Calibri"/>
          <w:lang w:val="el-GR"/>
        </w:rPr>
        <w:t xml:space="preserve"> </w:t>
      </w:r>
      <w:r w:rsidRPr="001B345F">
        <w:rPr>
          <w:rFonts w:cs="Calibri" w:hint="eastAsia"/>
          <w:lang w:val="el-GR"/>
        </w:rPr>
        <w:t>βιώσιμη</w:t>
      </w:r>
      <w:r w:rsidRPr="001B345F">
        <w:rPr>
          <w:rFonts w:cs="Calibri"/>
          <w:lang w:val="el-GR"/>
        </w:rPr>
        <w:t xml:space="preserve"> </w:t>
      </w:r>
      <w:r w:rsidRPr="001B345F">
        <w:rPr>
          <w:rFonts w:cs="Calibri" w:hint="eastAsia"/>
          <w:lang w:val="el-GR"/>
        </w:rPr>
        <w:t>ανάπτυξη</w:t>
      </w:r>
      <w:r w:rsidRPr="001B345F">
        <w:rPr>
          <w:rFonts w:cs="Calibri"/>
          <w:lang w:val="el-GR"/>
        </w:rPr>
        <w:t xml:space="preserve"> </w:t>
      </w:r>
      <w:r w:rsidRPr="001B345F">
        <w:rPr>
          <w:rFonts w:cs="Calibri" w:hint="eastAsia"/>
          <w:lang w:val="el-GR"/>
        </w:rPr>
        <w:t>λαμβάνεται</w:t>
      </w:r>
      <w:r w:rsidRPr="001B345F">
        <w:rPr>
          <w:rFonts w:cs="Calibri"/>
          <w:lang w:val="el-GR"/>
        </w:rPr>
        <w:t xml:space="preserve"> </w:t>
      </w:r>
      <w:r w:rsidRPr="001B345F">
        <w:rPr>
          <w:rFonts w:cs="Calibri" w:hint="eastAsia"/>
          <w:lang w:val="el-GR"/>
        </w:rPr>
        <w:t>η</w:t>
      </w:r>
      <w:r w:rsidRPr="001B345F">
        <w:rPr>
          <w:rFonts w:cs="Calibri"/>
          <w:lang w:val="el-GR"/>
        </w:rPr>
        <w:t xml:space="preserve"> </w:t>
      </w:r>
      <w:r w:rsidRPr="001B345F">
        <w:rPr>
          <w:rFonts w:cs="Calibri" w:hint="eastAsia"/>
          <w:lang w:val="el-GR"/>
        </w:rPr>
        <w:t>γνώμη</w:t>
      </w:r>
      <w:r w:rsidRPr="001B345F">
        <w:rPr>
          <w:rFonts w:cs="Calibri"/>
          <w:lang w:val="el-GR"/>
        </w:rPr>
        <w:t xml:space="preserve">, </w:t>
      </w:r>
      <w:r w:rsidRPr="001B345F">
        <w:rPr>
          <w:rFonts w:cs="Calibri" w:hint="eastAsia"/>
          <w:lang w:val="el-GR"/>
        </w:rPr>
        <w:t>όπου</w:t>
      </w:r>
      <w:r w:rsidRPr="001B345F">
        <w:rPr>
          <w:rFonts w:cs="Calibri"/>
          <w:lang w:val="el-GR"/>
        </w:rPr>
        <w:t xml:space="preserve"> </w:t>
      </w:r>
      <w:r w:rsidRPr="001B345F">
        <w:rPr>
          <w:rFonts w:cs="Calibri" w:hint="eastAsia"/>
          <w:lang w:val="el-GR"/>
        </w:rPr>
        <w:t>αυτό</w:t>
      </w:r>
      <w:r w:rsidRPr="001B345F">
        <w:rPr>
          <w:rFonts w:cs="Calibri"/>
          <w:lang w:val="el-GR"/>
        </w:rPr>
        <w:t xml:space="preserve"> </w:t>
      </w:r>
      <w:r w:rsidRPr="001B345F">
        <w:rPr>
          <w:rFonts w:cs="Calibri" w:hint="eastAsia"/>
          <w:lang w:val="el-GR"/>
        </w:rPr>
        <w:t>ενδείκνυται</w:t>
      </w:r>
      <w:r w:rsidRPr="001B345F">
        <w:rPr>
          <w:rFonts w:cs="Calibri"/>
          <w:lang w:val="el-GR"/>
        </w:rPr>
        <w:t xml:space="preserve">, </w:t>
      </w:r>
      <w:r w:rsidRPr="001B345F">
        <w:rPr>
          <w:rFonts w:cs="Calibri" w:hint="eastAsia"/>
          <w:lang w:val="el-GR"/>
        </w:rPr>
        <w:t>του</w:t>
      </w:r>
      <w:r w:rsidRPr="001B345F">
        <w:rPr>
          <w:rFonts w:cs="Calibri"/>
          <w:lang w:val="el-GR"/>
        </w:rPr>
        <w:t xml:space="preserve"> </w:t>
      </w:r>
      <w:r w:rsidRPr="001B345F">
        <w:rPr>
          <w:rFonts w:cs="Calibri" w:hint="eastAsia"/>
          <w:lang w:val="el-GR"/>
        </w:rPr>
        <w:t>Τμήματος</w:t>
      </w:r>
      <w:r w:rsidRPr="001B345F">
        <w:rPr>
          <w:rFonts w:cs="Calibri"/>
          <w:lang w:val="el-GR"/>
        </w:rPr>
        <w:t xml:space="preserve"> </w:t>
      </w:r>
      <w:r w:rsidRPr="001B345F">
        <w:rPr>
          <w:rFonts w:cs="Calibri" w:hint="eastAsia"/>
          <w:lang w:val="el-GR"/>
        </w:rPr>
        <w:t>Περιβάλλοντος</w:t>
      </w:r>
      <w:r w:rsidRPr="001B345F">
        <w:rPr>
          <w:rFonts w:cs="Calibri"/>
          <w:lang w:val="el-GR"/>
        </w:rPr>
        <w:t xml:space="preserve"> </w:t>
      </w:r>
      <w:r w:rsidRPr="001B345F">
        <w:rPr>
          <w:rFonts w:cs="Calibri" w:hint="eastAsia"/>
          <w:lang w:val="el-GR"/>
        </w:rPr>
        <w:t>του</w:t>
      </w:r>
      <w:r w:rsidRPr="001B345F">
        <w:rPr>
          <w:rFonts w:cs="Calibri"/>
          <w:lang w:val="el-GR"/>
        </w:rPr>
        <w:t xml:space="preserve"> </w:t>
      </w:r>
      <w:r w:rsidRPr="001B345F">
        <w:rPr>
          <w:rFonts w:cs="Calibri" w:hint="eastAsia"/>
          <w:lang w:val="el-GR"/>
        </w:rPr>
        <w:t>Υπουργείου</w:t>
      </w:r>
      <w:r w:rsidRPr="001B345F">
        <w:rPr>
          <w:rFonts w:cs="Calibri"/>
          <w:lang w:val="el-GR"/>
        </w:rPr>
        <w:t xml:space="preserve"> </w:t>
      </w:r>
      <w:r w:rsidRPr="001B345F">
        <w:rPr>
          <w:rFonts w:cs="Calibri" w:hint="eastAsia"/>
          <w:lang w:val="el-GR"/>
        </w:rPr>
        <w:t>Γεωργίας</w:t>
      </w:r>
      <w:r w:rsidRPr="001B345F">
        <w:rPr>
          <w:rFonts w:cs="Calibri"/>
          <w:lang w:val="el-GR"/>
        </w:rPr>
        <w:t xml:space="preserve">, </w:t>
      </w:r>
      <w:r w:rsidRPr="001B345F">
        <w:rPr>
          <w:rFonts w:cs="Calibri" w:hint="eastAsia"/>
          <w:lang w:val="el-GR"/>
        </w:rPr>
        <w:t>Αγροτικής</w:t>
      </w:r>
      <w:r w:rsidRPr="001B345F">
        <w:rPr>
          <w:rFonts w:cs="Calibri"/>
          <w:lang w:val="el-GR"/>
        </w:rPr>
        <w:t xml:space="preserve"> </w:t>
      </w:r>
      <w:r w:rsidRPr="001B345F">
        <w:rPr>
          <w:rFonts w:cs="Calibri" w:hint="eastAsia"/>
          <w:lang w:val="el-GR"/>
        </w:rPr>
        <w:t>Ανάπτυξης</w:t>
      </w:r>
      <w:r w:rsidRPr="001B345F">
        <w:rPr>
          <w:rFonts w:cs="Calibri"/>
          <w:lang w:val="el-GR"/>
        </w:rPr>
        <w:t xml:space="preserve"> </w:t>
      </w:r>
      <w:r w:rsidRPr="001B345F">
        <w:rPr>
          <w:rFonts w:cs="Calibri" w:hint="eastAsia"/>
          <w:lang w:val="el-GR"/>
        </w:rPr>
        <w:t>και</w:t>
      </w:r>
      <w:r w:rsidRPr="001B345F">
        <w:rPr>
          <w:rFonts w:cs="Calibri"/>
          <w:lang w:val="el-GR"/>
        </w:rPr>
        <w:t xml:space="preserve"> </w:t>
      </w:r>
      <w:r w:rsidRPr="001B345F">
        <w:rPr>
          <w:rFonts w:cs="Calibri" w:hint="eastAsia"/>
          <w:lang w:val="el-GR"/>
        </w:rPr>
        <w:t>Περιβάλλοντος</w:t>
      </w:r>
      <w:r w:rsidRPr="001B345F">
        <w:rPr>
          <w:rFonts w:cs="Calibri"/>
          <w:lang w:val="el-GR"/>
        </w:rPr>
        <w:t xml:space="preserve">, </w:t>
      </w:r>
      <w:r w:rsidRPr="001B345F">
        <w:rPr>
          <w:rFonts w:cs="Calibri" w:hint="eastAsia"/>
          <w:lang w:val="el-GR"/>
        </w:rPr>
        <w:t>που</w:t>
      </w:r>
      <w:r w:rsidRPr="001B345F">
        <w:rPr>
          <w:rFonts w:cs="Calibri"/>
          <w:lang w:val="el-GR"/>
        </w:rPr>
        <w:t xml:space="preserve"> </w:t>
      </w:r>
      <w:r w:rsidRPr="001B345F">
        <w:rPr>
          <w:rFonts w:cs="Calibri" w:hint="eastAsia"/>
          <w:lang w:val="el-GR"/>
        </w:rPr>
        <w:t>είναι</w:t>
      </w:r>
      <w:r w:rsidRPr="001B345F">
        <w:rPr>
          <w:rFonts w:cs="Calibri"/>
          <w:lang w:val="el-GR"/>
        </w:rPr>
        <w:t xml:space="preserve"> </w:t>
      </w:r>
      <w:r w:rsidRPr="001B345F">
        <w:rPr>
          <w:rFonts w:cs="Calibri" w:hint="eastAsia"/>
          <w:lang w:val="el-GR"/>
        </w:rPr>
        <w:t>το</w:t>
      </w:r>
      <w:r w:rsidRPr="001B345F">
        <w:rPr>
          <w:rFonts w:cs="Calibri"/>
          <w:lang w:val="el-GR"/>
        </w:rPr>
        <w:t xml:space="preserve"> </w:t>
      </w:r>
      <w:r w:rsidRPr="001B345F">
        <w:rPr>
          <w:rFonts w:cs="Calibri" w:hint="eastAsia"/>
          <w:lang w:val="el-GR"/>
        </w:rPr>
        <w:t>αρμόδιο</w:t>
      </w:r>
      <w:r w:rsidRPr="001B345F">
        <w:rPr>
          <w:rFonts w:cs="Calibri"/>
          <w:lang w:val="el-GR"/>
        </w:rPr>
        <w:t xml:space="preserve"> </w:t>
      </w:r>
      <w:r w:rsidRPr="001B345F">
        <w:rPr>
          <w:rFonts w:cs="Calibri" w:hint="eastAsia"/>
          <w:lang w:val="el-GR"/>
        </w:rPr>
        <w:t>Τμήμα</w:t>
      </w:r>
      <w:r w:rsidRPr="001B345F">
        <w:rPr>
          <w:rFonts w:cs="Calibri"/>
          <w:lang w:val="el-GR"/>
        </w:rPr>
        <w:t xml:space="preserve"> </w:t>
      </w:r>
      <w:r w:rsidRPr="001B345F">
        <w:rPr>
          <w:rFonts w:cs="Calibri" w:hint="eastAsia"/>
          <w:lang w:val="el-GR"/>
        </w:rPr>
        <w:t>σύμφωνα</w:t>
      </w:r>
      <w:r w:rsidRPr="001B345F">
        <w:rPr>
          <w:rFonts w:cs="Calibri"/>
          <w:lang w:val="el-GR"/>
        </w:rPr>
        <w:t xml:space="preserve"> </w:t>
      </w:r>
      <w:r w:rsidRPr="001B345F">
        <w:rPr>
          <w:rFonts w:cs="Calibri" w:hint="eastAsia"/>
          <w:lang w:val="el-GR"/>
        </w:rPr>
        <w:t>με</w:t>
      </w:r>
      <w:r w:rsidRPr="001B345F">
        <w:rPr>
          <w:rFonts w:cs="Calibri"/>
          <w:lang w:val="el-GR"/>
        </w:rPr>
        <w:t xml:space="preserve"> </w:t>
      </w:r>
      <w:r w:rsidRPr="001B345F">
        <w:rPr>
          <w:rFonts w:cs="Calibri" w:hint="eastAsia"/>
          <w:lang w:val="el-GR"/>
        </w:rPr>
        <w:t>τη</w:t>
      </w:r>
      <w:r w:rsidRPr="001B345F">
        <w:rPr>
          <w:rFonts w:cs="Calibri"/>
          <w:lang w:val="el-GR"/>
        </w:rPr>
        <w:t xml:space="preserve"> </w:t>
      </w:r>
      <w:r w:rsidRPr="001B345F">
        <w:rPr>
          <w:rFonts w:cs="Calibri" w:hint="eastAsia"/>
          <w:lang w:val="el-GR"/>
        </w:rPr>
        <w:t>σχετική</w:t>
      </w:r>
      <w:r w:rsidRPr="001B345F">
        <w:rPr>
          <w:rFonts w:cs="Calibri"/>
          <w:lang w:val="el-GR"/>
        </w:rPr>
        <w:t xml:space="preserve"> </w:t>
      </w:r>
      <w:r w:rsidRPr="001B345F">
        <w:rPr>
          <w:rFonts w:cs="Calibri" w:hint="eastAsia"/>
          <w:lang w:val="el-GR"/>
        </w:rPr>
        <w:t>Νομοθεσία</w:t>
      </w:r>
      <w:r w:rsidRPr="001B345F">
        <w:rPr>
          <w:rFonts w:cs="Calibri"/>
          <w:lang w:val="el-GR"/>
        </w:rPr>
        <w:t xml:space="preserve">. </w:t>
      </w:r>
      <w:r w:rsidRPr="001B345F">
        <w:rPr>
          <w:rFonts w:cs="Calibri" w:hint="eastAsia"/>
          <w:lang w:val="el-GR"/>
        </w:rPr>
        <w:t>Στις</w:t>
      </w:r>
      <w:r w:rsidRPr="001B345F">
        <w:rPr>
          <w:rFonts w:cs="Calibri"/>
          <w:lang w:val="el-GR"/>
        </w:rPr>
        <w:t xml:space="preserve"> </w:t>
      </w:r>
      <w:r w:rsidRPr="001B345F">
        <w:rPr>
          <w:rFonts w:cs="Calibri" w:hint="eastAsia"/>
          <w:lang w:val="el-GR"/>
        </w:rPr>
        <w:t>περιπτώσεις</w:t>
      </w:r>
      <w:r w:rsidRPr="001B345F">
        <w:rPr>
          <w:rFonts w:cs="Calibri"/>
          <w:lang w:val="el-GR"/>
        </w:rPr>
        <w:t xml:space="preserve"> </w:t>
      </w:r>
      <w:r w:rsidRPr="001B345F">
        <w:rPr>
          <w:rFonts w:cs="Calibri" w:hint="eastAsia"/>
          <w:lang w:val="el-GR"/>
        </w:rPr>
        <w:t>Σχεδίων</w:t>
      </w:r>
      <w:r w:rsidRPr="001B345F">
        <w:rPr>
          <w:rFonts w:cs="Calibri"/>
          <w:lang w:val="el-GR"/>
        </w:rPr>
        <w:t xml:space="preserve"> </w:t>
      </w:r>
      <w:r w:rsidRPr="001B345F">
        <w:rPr>
          <w:rFonts w:cs="Calibri" w:hint="eastAsia"/>
          <w:lang w:val="el-GR"/>
        </w:rPr>
        <w:t>Χορηγιών</w:t>
      </w:r>
      <w:r w:rsidRPr="001B345F">
        <w:rPr>
          <w:rFonts w:cs="Calibri"/>
          <w:lang w:val="el-GR"/>
        </w:rPr>
        <w:t xml:space="preserve">, </w:t>
      </w:r>
      <w:r w:rsidRPr="001B345F">
        <w:rPr>
          <w:rFonts w:cs="Calibri" w:hint="eastAsia"/>
          <w:lang w:val="el-GR"/>
        </w:rPr>
        <w:t>ο</w:t>
      </w:r>
      <w:r w:rsidRPr="001B345F">
        <w:rPr>
          <w:rFonts w:cs="Calibri"/>
          <w:lang w:val="el-GR"/>
        </w:rPr>
        <w:t xml:space="preserve"> </w:t>
      </w:r>
      <w:r w:rsidRPr="001B345F">
        <w:rPr>
          <w:rFonts w:cs="Calibri" w:hint="eastAsia"/>
          <w:lang w:val="el-GR"/>
        </w:rPr>
        <w:t>Ενδιάμεσος</w:t>
      </w:r>
      <w:r w:rsidRPr="001B345F">
        <w:rPr>
          <w:rFonts w:cs="Calibri"/>
          <w:lang w:val="el-GR"/>
        </w:rPr>
        <w:t xml:space="preserve"> </w:t>
      </w:r>
      <w:r w:rsidRPr="001B345F">
        <w:rPr>
          <w:rFonts w:cs="Calibri" w:hint="eastAsia"/>
          <w:lang w:val="el-GR"/>
        </w:rPr>
        <w:t>Φορέας</w:t>
      </w:r>
      <w:r w:rsidRPr="001B345F">
        <w:rPr>
          <w:rFonts w:cs="Calibri"/>
          <w:lang w:val="el-GR"/>
        </w:rPr>
        <w:t xml:space="preserve"> </w:t>
      </w:r>
      <w:r w:rsidRPr="001B345F">
        <w:rPr>
          <w:rFonts w:cs="Calibri" w:hint="eastAsia"/>
          <w:lang w:val="el-GR"/>
        </w:rPr>
        <w:t>υποβάλλει</w:t>
      </w:r>
      <w:r w:rsidRPr="001B345F">
        <w:rPr>
          <w:rFonts w:cs="Calibri"/>
          <w:lang w:val="el-GR"/>
        </w:rPr>
        <w:t xml:space="preserve"> </w:t>
      </w:r>
      <w:r w:rsidRPr="001B345F">
        <w:rPr>
          <w:rFonts w:cs="Calibri" w:hint="eastAsia"/>
          <w:lang w:val="el-GR"/>
        </w:rPr>
        <w:t>για</w:t>
      </w:r>
      <w:r w:rsidRPr="001B345F">
        <w:rPr>
          <w:rFonts w:cs="Calibri"/>
          <w:lang w:val="el-GR"/>
        </w:rPr>
        <w:t xml:space="preserve"> </w:t>
      </w:r>
      <w:r w:rsidRPr="001B345F">
        <w:rPr>
          <w:rFonts w:cs="Calibri" w:hint="eastAsia"/>
          <w:lang w:val="el-GR"/>
        </w:rPr>
        <w:t>έλεγχο</w:t>
      </w:r>
      <w:r w:rsidRPr="001B345F">
        <w:rPr>
          <w:rFonts w:cs="Calibri"/>
          <w:lang w:val="el-GR"/>
        </w:rPr>
        <w:t xml:space="preserve"> </w:t>
      </w:r>
      <w:r w:rsidRPr="001B345F">
        <w:rPr>
          <w:rFonts w:cs="Calibri" w:hint="eastAsia"/>
          <w:lang w:val="el-GR"/>
        </w:rPr>
        <w:t>στο</w:t>
      </w:r>
      <w:r w:rsidRPr="001B345F">
        <w:rPr>
          <w:rFonts w:cs="Calibri"/>
          <w:lang w:val="el-GR"/>
        </w:rPr>
        <w:t xml:space="preserve"> </w:t>
      </w:r>
      <w:r w:rsidRPr="001B345F">
        <w:rPr>
          <w:rFonts w:cs="Calibri" w:hint="eastAsia"/>
          <w:lang w:val="el-GR"/>
        </w:rPr>
        <w:t>Τμήμα</w:t>
      </w:r>
      <w:r w:rsidRPr="001B345F">
        <w:rPr>
          <w:rFonts w:cs="Calibri"/>
          <w:lang w:val="el-GR"/>
        </w:rPr>
        <w:t xml:space="preserve"> </w:t>
      </w:r>
      <w:r w:rsidRPr="001B345F">
        <w:rPr>
          <w:rFonts w:cs="Calibri" w:hint="eastAsia"/>
          <w:lang w:val="el-GR"/>
        </w:rPr>
        <w:t>Περιβάλλοντος</w:t>
      </w:r>
      <w:r w:rsidRPr="001B345F">
        <w:rPr>
          <w:rFonts w:cs="Calibri"/>
          <w:lang w:val="el-GR"/>
        </w:rPr>
        <w:t xml:space="preserve"> </w:t>
      </w:r>
      <w:r w:rsidRPr="001B345F">
        <w:rPr>
          <w:rFonts w:cs="Calibri" w:hint="eastAsia"/>
          <w:lang w:val="el-GR"/>
        </w:rPr>
        <w:t>το</w:t>
      </w:r>
      <w:r w:rsidRPr="001B345F">
        <w:rPr>
          <w:rFonts w:cs="Calibri"/>
          <w:lang w:val="el-GR"/>
        </w:rPr>
        <w:t xml:space="preserve"> </w:t>
      </w:r>
      <w:r w:rsidRPr="001B345F">
        <w:rPr>
          <w:rFonts w:cs="Calibri" w:hint="eastAsia"/>
          <w:lang w:val="el-GR"/>
        </w:rPr>
        <w:t>Σχέδιο</w:t>
      </w:r>
      <w:r w:rsidRPr="001B345F">
        <w:rPr>
          <w:rFonts w:cs="Calibri"/>
          <w:lang w:val="el-GR"/>
        </w:rPr>
        <w:t xml:space="preserve"> </w:t>
      </w:r>
      <w:r w:rsidRPr="001B345F">
        <w:rPr>
          <w:rFonts w:cs="Calibri" w:hint="eastAsia"/>
          <w:lang w:val="el-GR"/>
        </w:rPr>
        <w:t>και</w:t>
      </w:r>
      <w:r w:rsidRPr="001B345F">
        <w:rPr>
          <w:rFonts w:cs="Calibri"/>
          <w:lang w:val="el-GR"/>
        </w:rPr>
        <w:t xml:space="preserve"> </w:t>
      </w:r>
      <w:r w:rsidRPr="001B345F">
        <w:rPr>
          <w:rFonts w:cs="Calibri" w:hint="eastAsia"/>
          <w:lang w:val="el-GR"/>
        </w:rPr>
        <w:t>εξασφαλίζει</w:t>
      </w:r>
      <w:r w:rsidRPr="001B345F">
        <w:rPr>
          <w:rFonts w:cs="Calibri"/>
          <w:lang w:val="el-GR"/>
        </w:rPr>
        <w:t xml:space="preserve"> </w:t>
      </w:r>
      <w:r w:rsidRPr="001B345F">
        <w:rPr>
          <w:rFonts w:cs="Calibri" w:hint="eastAsia"/>
          <w:lang w:val="el-GR"/>
        </w:rPr>
        <w:t>πιστοποίηση</w:t>
      </w:r>
      <w:r w:rsidRPr="001B345F">
        <w:rPr>
          <w:rFonts w:cs="Calibri"/>
          <w:lang w:val="el-GR"/>
        </w:rPr>
        <w:t xml:space="preserve"> </w:t>
      </w:r>
      <w:r w:rsidRPr="001B345F">
        <w:rPr>
          <w:rFonts w:cs="Calibri" w:hint="eastAsia"/>
          <w:lang w:val="el-GR"/>
        </w:rPr>
        <w:t>συμβατότητας</w:t>
      </w:r>
      <w:r w:rsidRPr="001B345F">
        <w:rPr>
          <w:rFonts w:cs="Calibri"/>
          <w:lang w:val="el-GR"/>
        </w:rPr>
        <w:t xml:space="preserve"> </w:t>
      </w:r>
      <w:r w:rsidRPr="001B345F">
        <w:rPr>
          <w:rFonts w:cs="Calibri" w:hint="eastAsia"/>
          <w:lang w:val="el-GR"/>
        </w:rPr>
        <w:t>με</w:t>
      </w:r>
      <w:r w:rsidRPr="001B345F">
        <w:rPr>
          <w:rFonts w:cs="Calibri"/>
          <w:lang w:val="el-GR"/>
        </w:rPr>
        <w:t xml:space="preserve"> </w:t>
      </w:r>
      <w:r w:rsidRPr="001B345F">
        <w:rPr>
          <w:rFonts w:cs="Calibri" w:hint="eastAsia"/>
          <w:lang w:val="el-GR"/>
        </w:rPr>
        <w:t>την</w:t>
      </w:r>
      <w:r w:rsidRPr="001B345F">
        <w:rPr>
          <w:rFonts w:cs="Calibri"/>
          <w:lang w:val="el-GR"/>
        </w:rPr>
        <w:t xml:space="preserve"> </w:t>
      </w:r>
      <w:r w:rsidRPr="001B345F">
        <w:rPr>
          <w:rFonts w:cs="Calibri" w:hint="eastAsia"/>
          <w:lang w:val="el-GR"/>
        </w:rPr>
        <w:t>εθνική</w:t>
      </w:r>
      <w:r w:rsidRPr="001B345F">
        <w:rPr>
          <w:rFonts w:cs="Calibri"/>
          <w:lang w:val="el-GR"/>
        </w:rPr>
        <w:t xml:space="preserve"> </w:t>
      </w:r>
      <w:r w:rsidRPr="001B345F">
        <w:rPr>
          <w:rFonts w:cs="Calibri" w:hint="eastAsia"/>
          <w:lang w:val="el-GR"/>
        </w:rPr>
        <w:t>και</w:t>
      </w:r>
      <w:r w:rsidRPr="001B345F">
        <w:rPr>
          <w:rFonts w:cs="Calibri"/>
          <w:lang w:val="el-GR"/>
        </w:rPr>
        <w:t xml:space="preserve"> </w:t>
      </w:r>
      <w:r w:rsidRPr="001B345F">
        <w:rPr>
          <w:rFonts w:cs="Calibri" w:hint="eastAsia"/>
          <w:lang w:val="el-GR"/>
        </w:rPr>
        <w:t>ενωσιακή</w:t>
      </w:r>
      <w:r w:rsidRPr="001B345F">
        <w:rPr>
          <w:rFonts w:cs="Calibri"/>
          <w:lang w:val="el-GR"/>
        </w:rPr>
        <w:t xml:space="preserve"> </w:t>
      </w:r>
      <w:r w:rsidRPr="001B345F">
        <w:rPr>
          <w:rFonts w:cs="Calibri" w:hint="eastAsia"/>
          <w:lang w:val="el-GR"/>
        </w:rPr>
        <w:t>πολιτική</w:t>
      </w:r>
      <w:r w:rsidRPr="001B345F">
        <w:rPr>
          <w:rFonts w:cs="Calibri"/>
          <w:lang w:val="el-GR"/>
        </w:rPr>
        <w:t xml:space="preserve"> </w:t>
      </w:r>
      <w:r w:rsidRPr="001B345F">
        <w:rPr>
          <w:rFonts w:cs="Calibri" w:hint="eastAsia"/>
          <w:lang w:val="el-GR"/>
        </w:rPr>
        <w:t>για</w:t>
      </w:r>
      <w:r w:rsidRPr="001B345F">
        <w:rPr>
          <w:rFonts w:cs="Calibri"/>
          <w:lang w:val="el-GR"/>
        </w:rPr>
        <w:t xml:space="preserve"> </w:t>
      </w:r>
      <w:r w:rsidRPr="001B345F">
        <w:rPr>
          <w:rFonts w:cs="Calibri" w:hint="eastAsia"/>
          <w:lang w:val="el-GR"/>
        </w:rPr>
        <w:t>τη</w:t>
      </w:r>
      <w:r w:rsidRPr="001B345F">
        <w:rPr>
          <w:rFonts w:cs="Calibri"/>
          <w:lang w:val="el-GR"/>
        </w:rPr>
        <w:t xml:space="preserve"> </w:t>
      </w:r>
      <w:r w:rsidRPr="001B345F">
        <w:rPr>
          <w:rFonts w:cs="Calibri" w:hint="eastAsia"/>
          <w:lang w:val="el-GR"/>
        </w:rPr>
        <w:t>διαφύλαξη</w:t>
      </w:r>
      <w:r w:rsidRPr="001B345F">
        <w:rPr>
          <w:rFonts w:cs="Calibri"/>
          <w:lang w:val="el-GR"/>
        </w:rPr>
        <w:t xml:space="preserve">, </w:t>
      </w:r>
      <w:r w:rsidRPr="001B345F">
        <w:rPr>
          <w:rFonts w:cs="Calibri" w:hint="eastAsia"/>
          <w:lang w:val="el-GR"/>
        </w:rPr>
        <w:t>προστασία</w:t>
      </w:r>
      <w:r w:rsidRPr="001B345F">
        <w:rPr>
          <w:rFonts w:cs="Calibri"/>
          <w:lang w:val="el-GR"/>
        </w:rPr>
        <w:t xml:space="preserve"> </w:t>
      </w:r>
      <w:r w:rsidRPr="001B345F">
        <w:rPr>
          <w:rFonts w:cs="Calibri" w:hint="eastAsia"/>
          <w:lang w:val="el-GR"/>
        </w:rPr>
        <w:t>και</w:t>
      </w:r>
      <w:r w:rsidRPr="001B345F">
        <w:rPr>
          <w:rFonts w:cs="Calibri"/>
          <w:lang w:val="el-GR"/>
        </w:rPr>
        <w:t xml:space="preserve"> </w:t>
      </w:r>
      <w:r w:rsidRPr="001B345F">
        <w:rPr>
          <w:rFonts w:cs="Calibri" w:hint="eastAsia"/>
          <w:lang w:val="el-GR"/>
        </w:rPr>
        <w:t>βελτίωση</w:t>
      </w:r>
      <w:r w:rsidRPr="001B345F">
        <w:rPr>
          <w:rFonts w:cs="Calibri"/>
          <w:lang w:val="el-GR"/>
        </w:rPr>
        <w:t xml:space="preserve"> </w:t>
      </w:r>
      <w:r w:rsidRPr="001B345F">
        <w:rPr>
          <w:rFonts w:cs="Calibri" w:hint="eastAsia"/>
          <w:lang w:val="el-GR"/>
        </w:rPr>
        <w:t>του</w:t>
      </w:r>
      <w:r w:rsidRPr="001B345F">
        <w:rPr>
          <w:rFonts w:cs="Calibri"/>
          <w:lang w:val="el-GR"/>
        </w:rPr>
        <w:t xml:space="preserve"> </w:t>
      </w:r>
      <w:r w:rsidRPr="001B345F">
        <w:rPr>
          <w:rFonts w:cs="Calibri" w:hint="eastAsia"/>
          <w:lang w:val="el-GR"/>
        </w:rPr>
        <w:t>περιβάλλοντος</w:t>
      </w:r>
      <w:r w:rsidRPr="001B345F">
        <w:rPr>
          <w:rFonts w:cs="Calibri"/>
          <w:lang w:val="el-GR"/>
        </w:rPr>
        <w:t xml:space="preserve"> </w:t>
      </w:r>
      <w:r w:rsidRPr="001B345F">
        <w:rPr>
          <w:rFonts w:cs="Calibri" w:hint="eastAsia"/>
          <w:lang w:val="el-GR"/>
        </w:rPr>
        <w:t>και</w:t>
      </w:r>
      <w:r w:rsidRPr="001B345F">
        <w:rPr>
          <w:rFonts w:cs="Calibri"/>
          <w:lang w:val="el-GR"/>
        </w:rPr>
        <w:t xml:space="preserve"> </w:t>
      </w:r>
      <w:r w:rsidRPr="001B345F">
        <w:rPr>
          <w:rFonts w:cs="Calibri" w:hint="eastAsia"/>
          <w:lang w:val="el-GR"/>
        </w:rPr>
        <w:t>τη</w:t>
      </w:r>
      <w:r w:rsidRPr="001B345F">
        <w:rPr>
          <w:rFonts w:cs="Calibri"/>
          <w:lang w:val="el-GR"/>
        </w:rPr>
        <w:t xml:space="preserve"> </w:t>
      </w:r>
      <w:r w:rsidRPr="001B345F">
        <w:rPr>
          <w:rFonts w:cs="Calibri" w:hint="eastAsia"/>
          <w:lang w:val="el-GR"/>
        </w:rPr>
        <w:t>βιώσιμη</w:t>
      </w:r>
      <w:r w:rsidRPr="001B345F">
        <w:rPr>
          <w:rFonts w:cs="Calibri"/>
          <w:lang w:val="el-GR"/>
        </w:rPr>
        <w:t xml:space="preserve"> </w:t>
      </w:r>
      <w:r w:rsidRPr="001B345F">
        <w:rPr>
          <w:rFonts w:cs="Calibri" w:hint="eastAsia"/>
          <w:lang w:val="el-GR"/>
        </w:rPr>
        <w:t>ανάπτυξη</w:t>
      </w:r>
      <w:r w:rsidRPr="001B345F">
        <w:rPr>
          <w:rFonts w:cs="Calibri"/>
          <w:lang w:val="el-GR"/>
        </w:rPr>
        <w:t xml:space="preserve"> </w:t>
      </w:r>
      <w:r w:rsidRPr="001B345F">
        <w:rPr>
          <w:rFonts w:cs="Calibri" w:hint="eastAsia"/>
          <w:lang w:val="el-GR"/>
        </w:rPr>
        <w:t>στο</w:t>
      </w:r>
      <w:r w:rsidRPr="001B345F">
        <w:rPr>
          <w:rFonts w:cs="Calibri"/>
          <w:lang w:val="el-GR"/>
        </w:rPr>
        <w:t xml:space="preserve"> </w:t>
      </w:r>
      <w:r w:rsidRPr="001B345F">
        <w:rPr>
          <w:rFonts w:cs="Calibri" w:hint="eastAsia"/>
          <w:lang w:val="el-GR"/>
        </w:rPr>
        <w:t>επίπεδο</w:t>
      </w:r>
      <w:r w:rsidRPr="001B345F">
        <w:rPr>
          <w:rFonts w:cs="Calibri"/>
          <w:lang w:val="el-GR"/>
        </w:rPr>
        <w:t xml:space="preserve"> </w:t>
      </w:r>
      <w:r w:rsidRPr="001B345F">
        <w:rPr>
          <w:rFonts w:cs="Calibri" w:hint="eastAsia"/>
          <w:lang w:val="el-GR"/>
        </w:rPr>
        <w:t>του</w:t>
      </w:r>
      <w:r w:rsidRPr="001B345F">
        <w:rPr>
          <w:rFonts w:cs="Calibri"/>
          <w:lang w:val="el-GR"/>
        </w:rPr>
        <w:t xml:space="preserve"> </w:t>
      </w:r>
      <w:r w:rsidRPr="001B345F">
        <w:rPr>
          <w:rFonts w:cs="Calibri" w:hint="eastAsia"/>
          <w:lang w:val="el-GR"/>
        </w:rPr>
        <w:t>Σχεδίου</w:t>
      </w:r>
      <w:r w:rsidRPr="001B345F">
        <w:rPr>
          <w:rFonts w:cs="Calibri"/>
          <w:lang w:val="el-GR"/>
        </w:rPr>
        <w:t xml:space="preserve"> </w:t>
      </w:r>
      <w:r w:rsidRPr="001B345F">
        <w:rPr>
          <w:rFonts w:cs="Calibri" w:hint="eastAsia"/>
          <w:lang w:val="el-GR"/>
        </w:rPr>
        <w:t>και</w:t>
      </w:r>
      <w:r w:rsidRPr="001B345F">
        <w:rPr>
          <w:rFonts w:cs="Calibri"/>
          <w:lang w:val="el-GR"/>
        </w:rPr>
        <w:t xml:space="preserve"> </w:t>
      </w:r>
      <w:r w:rsidRPr="001B345F">
        <w:rPr>
          <w:rFonts w:cs="Calibri" w:hint="eastAsia"/>
          <w:lang w:val="el-GR"/>
        </w:rPr>
        <w:t>κατ’</w:t>
      </w:r>
      <w:r w:rsidRPr="001B345F">
        <w:rPr>
          <w:rFonts w:cs="Calibri"/>
          <w:lang w:val="el-GR"/>
        </w:rPr>
        <w:t xml:space="preserve"> </w:t>
      </w:r>
      <w:r w:rsidRPr="001B345F">
        <w:rPr>
          <w:rFonts w:cs="Calibri" w:hint="eastAsia"/>
          <w:lang w:val="el-GR"/>
        </w:rPr>
        <w:t>επέκταση</w:t>
      </w:r>
      <w:r w:rsidRPr="001B345F">
        <w:rPr>
          <w:rFonts w:cs="Calibri"/>
          <w:lang w:val="el-GR"/>
        </w:rPr>
        <w:t xml:space="preserve"> </w:t>
      </w:r>
      <w:r w:rsidRPr="001B345F">
        <w:rPr>
          <w:rFonts w:cs="Calibri" w:hint="eastAsia"/>
          <w:lang w:val="el-GR"/>
        </w:rPr>
        <w:t>για</w:t>
      </w:r>
      <w:r w:rsidRPr="001B345F">
        <w:rPr>
          <w:rFonts w:cs="Calibri"/>
          <w:lang w:val="el-GR"/>
        </w:rPr>
        <w:t xml:space="preserve"> </w:t>
      </w:r>
      <w:r w:rsidRPr="001B345F">
        <w:rPr>
          <w:rFonts w:cs="Calibri" w:hint="eastAsia"/>
          <w:lang w:val="el-GR"/>
        </w:rPr>
        <w:t>το</w:t>
      </w:r>
      <w:r w:rsidRPr="001B345F">
        <w:rPr>
          <w:rFonts w:cs="Calibri"/>
          <w:lang w:val="el-GR"/>
        </w:rPr>
        <w:t xml:space="preserve"> </w:t>
      </w:r>
      <w:r w:rsidRPr="001B345F">
        <w:rPr>
          <w:rFonts w:cs="Calibri" w:hint="eastAsia"/>
          <w:lang w:val="el-GR"/>
        </w:rPr>
        <w:t>σύνολο</w:t>
      </w:r>
      <w:r w:rsidRPr="001B345F">
        <w:rPr>
          <w:rFonts w:cs="Calibri"/>
          <w:lang w:val="el-GR"/>
        </w:rPr>
        <w:t xml:space="preserve"> </w:t>
      </w:r>
      <w:r w:rsidRPr="001B345F">
        <w:rPr>
          <w:rFonts w:cs="Calibri" w:hint="eastAsia"/>
          <w:lang w:val="el-GR"/>
        </w:rPr>
        <w:t>των</w:t>
      </w:r>
      <w:r w:rsidRPr="001B345F">
        <w:rPr>
          <w:rFonts w:cs="Calibri"/>
          <w:lang w:val="el-GR"/>
        </w:rPr>
        <w:t xml:space="preserve"> </w:t>
      </w:r>
      <w:r w:rsidRPr="001B345F">
        <w:rPr>
          <w:rFonts w:cs="Calibri" w:hint="eastAsia"/>
          <w:lang w:val="el-GR"/>
        </w:rPr>
        <w:t>έργων</w:t>
      </w:r>
      <w:r w:rsidRPr="001B345F">
        <w:rPr>
          <w:rFonts w:cs="Calibri"/>
          <w:lang w:val="el-GR"/>
        </w:rPr>
        <w:t xml:space="preserve"> </w:t>
      </w:r>
      <w:r w:rsidRPr="001B345F">
        <w:rPr>
          <w:rFonts w:cs="Calibri" w:hint="eastAsia"/>
          <w:lang w:val="el-GR"/>
        </w:rPr>
        <w:t>που</w:t>
      </w:r>
      <w:r w:rsidRPr="001B345F">
        <w:rPr>
          <w:rFonts w:cs="Calibri"/>
          <w:lang w:val="el-GR"/>
        </w:rPr>
        <w:t xml:space="preserve"> </w:t>
      </w:r>
      <w:r w:rsidRPr="001B345F">
        <w:rPr>
          <w:rFonts w:cs="Calibri" w:hint="eastAsia"/>
          <w:lang w:val="el-GR"/>
        </w:rPr>
        <w:t>προωθούνται</w:t>
      </w:r>
      <w:r w:rsidRPr="001B345F">
        <w:rPr>
          <w:rFonts w:cs="Calibri"/>
          <w:lang w:val="el-GR"/>
        </w:rPr>
        <w:t xml:space="preserve"> </w:t>
      </w:r>
      <w:r w:rsidRPr="001B345F">
        <w:rPr>
          <w:rFonts w:cs="Calibri" w:hint="eastAsia"/>
          <w:lang w:val="el-GR"/>
        </w:rPr>
        <w:t>κάτω</w:t>
      </w:r>
      <w:r w:rsidRPr="001B345F">
        <w:rPr>
          <w:rFonts w:cs="Calibri"/>
          <w:lang w:val="el-GR"/>
        </w:rPr>
        <w:t xml:space="preserve"> </w:t>
      </w:r>
      <w:r w:rsidRPr="001B345F">
        <w:rPr>
          <w:rFonts w:cs="Calibri" w:hint="eastAsia"/>
          <w:lang w:val="el-GR"/>
        </w:rPr>
        <w:t>από</w:t>
      </w:r>
      <w:r w:rsidRPr="001B345F">
        <w:rPr>
          <w:rFonts w:cs="Calibri"/>
          <w:lang w:val="el-GR"/>
        </w:rPr>
        <w:t xml:space="preserve"> </w:t>
      </w:r>
      <w:r w:rsidRPr="001B345F">
        <w:rPr>
          <w:rFonts w:cs="Calibri" w:hint="eastAsia"/>
          <w:lang w:val="el-GR"/>
        </w:rPr>
        <w:t>αυτό</w:t>
      </w:r>
      <w:r w:rsidRPr="001B345F">
        <w:rPr>
          <w:rFonts w:cs="Calibri"/>
          <w:lang w:val="el-GR"/>
        </w:rPr>
        <w:t>.</w:t>
      </w:r>
      <w:r>
        <w:rPr>
          <w:rFonts w:cs="Calibri"/>
          <w:lang w:val="el-GR"/>
        </w:rPr>
        <w:t xml:space="preserve"> </w:t>
      </w:r>
      <w:r w:rsidRPr="000570C5">
        <w:rPr>
          <w:rFonts w:cs="Calibri"/>
          <w:lang w:val="el-GR"/>
        </w:rPr>
        <w:t>Επίσης, στις Συμφωνίες Δημόσιες Χρηματοδότησης που υπογράφονται με δικαιούχους Σχεδίων Χορηγιών περιλαμβάνεται η υποχρέωση των Δικαιούχων για την τήρηση του σχετικού ενωσιακού και εθνικού νομοθετικού πλαισίου για τη διαφύλαξη, προστασία και βελτίωση του περιβάλλοντος και τη βιώσιμη ανάπτυξη. Τέλος, στα πλαίσια υλοποίησης των έργων, λαμβάνεται υπόψη το Εθνικό Σχέδιο Δράσης για τις Πράσινες Δημόσιες Συμβάσεις.</w:t>
      </w:r>
    </w:p>
    <w:p w14:paraId="4A9888CA" w14:textId="77777777" w:rsidR="00CD5EEF" w:rsidRDefault="00CD5EEF" w:rsidP="001C18AE">
      <w:pPr>
        <w:jc w:val="both"/>
        <w:rPr>
          <w:rFonts w:eastAsia="TimesNewRomanPSMT" w:cs="Calibri"/>
          <w:b/>
          <w:lang w:val="el-GR"/>
        </w:rPr>
      </w:pPr>
      <w:r>
        <w:rPr>
          <w:rFonts w:cs="Calibri"/>
          <w:lang w:val="el-GR"/>
        </w:rPr>
        <w:t xml:space="preserve">Στο πλαίσιο του </w:t>
      </w:r>
      <w:r w:rsidRPr="00B57AEC">
        <w:rPr>
          <w:rFonts w:eastAsia="TimesNewRomanPSMT" w:cs="Calibri"/>
          <w:b/>
          <w:lang w:val="el-GR"/>
        </w:rPr>
        <w:t>Ε.Π. «Ανταγωνιστικότητα και Αειφόρος Ανάπτυξη»</w:t>
      </w:r>
      <w:r>
        <w:rPr>
          <w:rFonts w:eastAsia="TimesNewRomanPSMT" w:cs="Calibri"/>
          <w:b/>
          <w:lang w:val="el-GR"/>
        </w:rPr>
        <w:t xml:space="preserve"> </w:t>
      </w:r>
      <w:r w:rsidRPr="00B57AEC">
        <w:rPr>
          <w:rFonts w:eastAsia="TimesNewRomanPSMT" w:cs="Calibri"/>
          <w:lang w:val="el-GR"/>
        </w:rPr>
        <w:t>και σύμφωνα με τις πρόνοιες της Εθνικής Στρατηγικής Έξυπνης Εξειδίκευσης, δίδεται ιδιαίτερη έμφαση στις δράσεις της αειφόρου τουριστικής ανάπτυξης (κοινωνική, οικονομική και περιβαλλοντική διάσταση του τουρισμού, εκτίμηση και παρακολούθηση φέρουσας ικανότητας), της αειφόρου αστικής ανάπτυξης, του σύγχρονου ενεργειακού σχεδιασμού κατασκευών και υποδομών, της αξιοποίησης αειφόρων κατασκευαστικών μεθόδων (μείωση της κατανάλωσης πόρων και των περιβαλλοντικών επιπτώσεων, επαναχρησιμοποίηση πόρων, χρήση ανανεώσιμων πηγών ενέργειας),  της αντιμετώπισης των επιπτώσεων της κλιματικής αλλαγής (παρακολούθηση επιπτώσεων, ανάλυση κινδύνων και δράσεις προσαρμογής), της προστασίας και διατήρησης της αξιοποίηση βιοποικιλότητας και των οικοσυστημάτων, καθώς και της βέλτιστης αξιοποίησης των υδάτινων πόρων</w:t>
      </w:r>
      <w:r w:rsidRPr="00B57AEC">
        <w:rPr>
          <w:rFonts w:eastAsia="TimesNewRomanPSMT" w:cs="Calibri"/>
          <w:b/>
          <w:lang w:val="el-GR"/>
        </w:rPr>
        <w:t>.</w:t>
      </w:r>
    </w:p>
    <w:p w14:paraId="58C4905D" w14:textId="77777777" w:rsidR="00CD5EEF" w:rsidRDefault="00CD5EEF" w:rsidP="001C18AE">
      <w:pPr>
        <w:jc w:val="both"/>
        <w:rPr>
          <w:rFonts w:cs="Calibri"/>
          <w:lang w:val="el-GR"/>
        </w:rPr>
      </w:pPr>
      <w:r w:rsidRPr="000570C5">
        <w:rPr>
          <w:rFonts w:cs="Calibri"/>
          <w:b/>
          <w:lang w:val="el-GR"/>
        </w:rPr>
        <w:t>Μέχρι τις 31/12/16 είχαν ενεργοποιηθεί διάφορες δράσεις</w:t>
      </w:r>
      <w:r w:rsidRPr="00B57AEC">
        <w:rPr>
          <w:rFonts w:cs="Calibri"/>
          <w:lang w:val="el-GR"/>
        </w:rPr>
        <w:t xml:space="preserve"> που εμπίπτουν στις προαναφερθείσες κατηγορίες, όπως είναι οι δράσεις για εξοικονόμηση ενέργειας στις επιχειρήσεις και στις κατοικίες,  για ορθολογική διαχείριση τόσο των στερεών όσο και των υγρών αποβλήτων, για προώθηση της χρήσης μεταφορικών μέσων φιλικών προς το περιβάλλον, και για θωράκιση έναντι της κλιματικής αλλαγής.</w:t>
      </w:r>
    </w:p>
    <w:p w14:paraId="07E3179B" w14:textId="77777777" w:rsidR="00CD5EEF" w:rsidRPr="006F7D56" w:rsidRDefault="00CD5EEF" w:rsidP="001C18AE">
      <w:pPr>
        <w:jc w:val="both"/>
        <w:rPr>
          <w:rFonts w:cs="Calibri"/>
          <w:lang w:val="el-GR"/>
        </w:rPr>
      </w:pPr>
      <w:r>
        <w:rPr>
          <w:rFonts w:cs="Calibri"/>
          <w:lang w:val="el-GR"/>
        </w:rPr>
        <w:t>Σ</w:t>
      </w:r>
      <w:r w:rsidRPr="006F7D56">
        <w:rPr>
          <w:rFonts w:cs="Calibri"/>
          <w:lang w:val="el-GR"/>
        </w:rPr>
        <w:t xml:space="preserve">ε ότι αφορά το </w:t>
      </w:r>
      <w:r w:rsidRPr="006F7D56">
        <w:rPr>
          <w:rFonts w:cs="Calibri"/>
          <w:b/>
          <w:lang w:val="el-GR"/>
        </w:rPr>
        <w:t>Ευρωπαϊκό Κοινωνικό Ταμείο,</w:t>
      </w:r>
      <w:r w:rsidRPr="006F7D56">
        <w:rPr>
          <w:rFonts w:cs="Calibri"/>
          <w:lang w:val="el-GR"/>
        </w:rPr>
        <w:t xml:space="preserve"> λόγω της φιλοσοφίας και της αρχιτεκτονικής του, δεν προβλέπεται η συμπερίληψη ειδικών κριτηρίων για τη συμβατότητα των πράξεων με τις αρχές της βιώσιμης ανάπτυξης, αφού δεν χρηματοδοτούνται έργα υποδομής που συνδέονται άμεσα με τις απαιτήσεις προστασίας του περιβάλλοντος, την αποδοτικότητα των πόρων, την αντιμετώπιση των επιπτώσεων στην κλιματική αλλαγή και την προσαρμογή σε αυτή, την ανθεκτικότητα σε καταστροφές και τη διαχείριση κινδύνων.</w:t>
      </w:r>
    </w:p>
    <w:p w14:paraId="2E0D444A" w14:textId="77777777" w:rsidR="00CD5EEF" w:rsidRPr="006F7D56" w:rsidRDefault="00CD5EEF" w:rsidP="001C18AE">
      <w:pPr>
        <w:jc w:val="both"/>
        <w:rPr>
          <w:rFonts w:cs="Calibri"/>
          <w:lang w:val="el-GR"/>
        </w:rPr>
      </w:pPr>
      <w:r w:rsidRPr="00133763">
        <w:rPr>
          <w:rFonts w:cs="Calibri"/>
          <w:lang w:val="el-GR"/>
        </w:rPr>
        <w:lastRenderedPageBreak/>
        <w:t>Ωστόσο</w:t>
      </w:r>
      <w:r w:rsidRPr="006F7D56">
        <w:rPr>
          <w:rFonts w:cs="Calibri"/>
          <w:lang w:val="el-GR"/>
        </w:rPr>
        <w:t xml:space="preserve"> </w:t>
      </w:r>
      <w:r w:rsidRPr="00133763">
        <w:rPr>
          <w:rFonts w:cs="Calibri"/>
          <w:b/>
          <w:lang w:val="el-GR"/>
        </w:rPr>
        <w:t>πτυχές της αειφορίας δύναται να ενσωματωθούν</w:t>
      </w:r>
      <w:r w:rsidRPr="006F7D56">
        <w:rPr>
          <w:rFonts w:cs="Calibri"/>
          <w:lang w:val="el-GR"/>
        </w:rPr>
        <w:t xml:space="preserve">, </w:t>
      </w:r>
      <w:r w:rsidRPr="006F7D56">
        <w:rPr>
          <w:rFonts w:cs="Calibri"/>
          <w:u w:val="single"/>
          <w:lang w:val="el-GR"/>
        </w:rPr>
        <w:t>με έμμεσο τρόπο</w:t>
      </w:r>
      <w:r w:rsidRPr="006F7D56">
        <w:rPr>
          <w:rFonts w:cs="Calibri"/>
          <w:lang w:val="el-GR"/>
        </w:rPr>
        <w:t xml:space="preserve">, στο πλαίσιο του </w:t>
      </w:r>
      <w:r>
        <w:rPr>
          <w:rFonts w:cs="Calibri"/>
          <w:lang w:val="el-GR"/>
        </w:rPr>
        <w:t>Θ.Σ.</w:t>
      </w:r>
      <w:r w:rsidRPr="006F7D56">
        <w:rPr>
          <w:rFonts w:cs="Calibri"/>
          <w:lang w:val="el-GR"/>
        </w:rPr>
        <w:t xml:space="preserve"> 10 στη λογική ότι απαιτείται η ενίσχυση των επαγγελματικών δεξιοτήτων του εργατικού δυναμικού,</w:t>
      </w:r>
      <w:r>
        <w:rPr>
          <w:rFonts w:cs="Calibri"/>
          <w:lang w:val="el-GR"/>
        </w:rPr>
        <w:t xml:space="preserve"> μέσω ενός ανάλογα προσαρμοσμένου συστήματος </w:t>
      </w:r>
      <w:r w:rsidRPr="006F7D56">
        <w:rPr>
          <w:rFonts w:cs="Calibri"/>
          <w:lang w:val="el-GR"/>
        </w:rPr>
        <w:t>επαγγελματικής εκπαίδευση</w:t>
      </w:r>
      <w:r>
        <w:rPr>
          <w:rFonts w:cs="Calibri"/>
          <w:lang w:val="el-GR"/>
        </w:rPr>
        <w:t>ς και κατάρτισης και μαθητείας,</w:t>
      </w:r>
      <w:r w:rsidRPr="006F7D56">
        <w:rPr>
          <w:rFonts w:cs="Calibri"/>
          <w:lang w:val="el-GR"/>
        </w:rPr>
        <w:t xml:space="preserve"> ώστε να διευκολυνθεί η μεταστροφή της αγοράς εργασίας προς δραστηριότητες με προοπτικές ανάπτυξης και απασχόλησης σε τομείς όπως η πράσινη οικονομία, η ψηφιακή οικονομία κ.α. Στην κατεύθυνση αυτή </w:t>
      </w:r>
      <w:r w:rsidRPr="006F7D56">
        <w:rPr>
          <w:rFonts w:cs="Calibri"/>
          <w:b/>
          <w:lang w:val="el-GR"/>
        </w:rPr>
        <w:t>ενεργοποιήθηκαν, μέσω του Ε.Π. «Απασχόληση, Ανθρώπινοι Πόροι και Κοινωνική Συνοχή»</w:t>
      </w:r>
      <w:r w:rsidRPr="006F7D56">
        <w:rPr>
          <w:rFonts w:cs="Calibri"/>
          <w:lang w:val="el-GR"/>
        </w:rPr>
        <w:t>,</w:t>
      </w:r>
      <w:r w:rsidRPr="006F7D56">
        <w:rPr>
          <w:rFonts w:cs="Calibri"/>
          <w:b/>
          <w:lang w:val="el-GR"/>
        </w:rPr>
        <w:t xml:space="preserve"> </w:t>
      </w:r>
      <w:r w:rsidRPr="006F7D56">
        <w:rPr>
          <w:rFonts w:cs="Calibri"/>
          <w:lang w:val="el-GR"/>
        </w:rPr>
        <w:t xml:space="preserve">σχετικές δράσεις στο πλαίσιο των Ε.Π.10.3 και 10.4 που περιλαμβάνουν την </w:t>
      </w:r>
      <w:r w:rsidRPr="006F7D56">
        <w:rPr>
          <w:rFonts w:cs="Calibri"/>
          <w:b/>
          <w:lang w:val="el-GR"/>
        </w:rPr>
        <w:t>«Επέκταση και Λειτουργία του Συστήματος Επαγγελματικών Προσόντων»</w:t>
      </w:r>
      <w:r w:rsidRPr="006F7D56">
        <w:rPr>
          <w:rFonts w:cs="Calibri"/>
          <w:lang w:val="el-GR"/>
        </w:rPr>
        <w:t xml:space="preserve"> και τη «</w:t>
      </w:r>
      <w:r w:rsidRPr="006F7D56">
        <w:rPr>
          <w:rFonts w:cs="Calibri"/>
          <w:b/>
          <w:lang w:val="el-GR"/>
        </w:rPr>
        <w:t>Βελτίωση της Ποιότητας, της Ελκυστικότητας και της Αποτελεσματικότητας της Τεχνικής και Επαγγελματικής Εκπαίδευσης στην Κύπρο και Νέα Σύγχρονη Μαθητεία»</w:t>
      </w:r>
      <w:r w:rsidRPr="006F7D56">
        <w:rPr>
          <w:rFonts w:cs="Calibri"/>
          <w:lang w:val="el-GR"/>
        </w:rPr>
        <w:t>. Επίσης, προκηρύχθηκαν στις αρχές του 2017 δράσεις για τη θέσπιση Μηχανισμού για την επικύρωση της τυπικής, μη τυπικής και άτυπης μάθησης και τη διασύνδεση πανεπιστημίων με επιχειρήσεις.</w:t>
      </w:r>
    </w:p>
    <w:p w14:paraId="4E01A073" w14:textId="77777777" w:rsidR="00CD5EEF" w:rsidRPr="006F7D56" w:rsidRDefault="00CD5EEF" w:rsidP="001C18AE">
      <w:pPr>
        <w:jc w:val="both"/>
        <w:rPr>
          <w:rFonts w:cs="Calibri"/>
          <w:lang w:val="el-GR"/>
        </w:rPr>
      </w:pPr>
      <w:r w:rsidRPr="006F7D56">
        <w:rPr>
          <w:rFonts w:cs="Calibri"/>
          <w:lang w:val="el-GR"/>
        </w:rPr>
        <w:t xml:space="preserve">Στο </w:t>
      </w:r>
      <w:r w:rsidRPr="006F7D56">
        <w:rPr>
          <w:rFonts w:cs="Calibri"/>
          <w:b/>
          <w:lang w:val="el-GR"/>
        </w:rPr>
        <w:t>Πρόγραμμα Αγροτικής Ανάπτυξης</w:t>
      </w:r>
      <w:r w:rsidRPr="006F7D56">
        <w:rPr>
          <w:rFonts w:cs="Calibri"/>
          <w:lang w:val="el-GR"/>
        </w:rPr>
        <w:t xml:space="preserve">, η αρχή της Αειφόρου Ανάπτυξης είναι πλήρως ενσωματωμένη. Διασφαλίστηκε δε με την ενεργό συμμετοχή του Τμήματος Περιβάλλοντος του Υπουργείου κατά τη φάση του σχεδιασμού του Προγράμματος και συνεχίζει να διασφαλίζεται στη φάση της εφαρμογής του με τη συνεχή συνεργασία της Διαχειριστικής Αρχής με το εν λόγω Τμήμα. </w:t>
      </w:r>
      <w:r w:rsidRPr="006F7D56">
        <w:rPr>
          <w:rFonts w:cs="Calibri"/>
        </w:rPr>
        <w:t> </w:t>
      </w:r>
    </w:p>
    <w:p w14:paraId="2F754640" w14:textId="77777777" w:rsidR="00CD5EEF" w:rsidRDefault="00CD5EEF" w:rsidP="001C18AE">
      <w:pPr>
        <w:jc w:val="both"/>
        <w:rPr>
          <w:rFonts w:cs="Calibri"/>
          <w:lang w:val="el-GR"/>
        </w:rPr>
      </w:pPr>
      <w:r w:rsidRPr="006F7D56">
        <w:rPr>
          <w:rFonts w:cs="Calibri"/>
          <w:lang w:val="el-GR"/>
        </w:rPr>
        <w:t xml:space="preserve">Ειδικότερα, </w:t>
      </w:r>
      <w:r w:rsidRPr="00F06CEC">
        <w:rPr>
          <w:rFonts w:cs="Calibri"/>
          <w:b/>
          <w:lang w:val="el-GR"/>
        </w:rPr>
        <w:t>σε επίπεδο γενικού στρατηγικού στόχου το ΠΑΑ</w:t>
      </w:r>
      <w:r w:rsidRPr="006F7D56">
        <w:rPr>
          <w:rFonts w:cs="Calibri"/>
          <w:lang w:val="el-GR"/>
        </w:rPr>
        <w:t xml:space="preserve"> αναφέρεται στην «προσαρμογή της Κυπριακής Γεωργίας στις νέες οικονομικές συνθήκες και στην αύξηση των περιβαλλοντικών</w:t>
      </w:r>
      <w:r w:rsidRPr="006F7D56">
        <w:rPr>
          <w:rFonts w:cs="Calibri"/>
        </w:rPr>
        <w:t> </w:t>
      </w:r>
      <w:r w:rsidRPr="006F7D56">
        <w:rPr>
          <w:rFonts w:cs="Calibri"/>
          <w:lang w:val="el-GR"/>
        </w:rPr>
        <w:t xml:space="preserve"> προκλήσεων που δημιουργεί η κλιματική αλλαγή». Παράλληλα, δόθηκε σημαντική χρηματοδοτική βαρύτητα στις Θεματικές Προτεραιότητες </w:t>
      </w:r>
      <w:r w:rsidRPr="006F7D56">
        <w:rPr>
          <w:rFonts w:cs="Calibri"/>
        </w:rPr>
        <w:t> </w:t>
      </w:r>
      <w:r w:rsidRPr="006F7D56">
        <w:rPr>
          <w:rFonts w:cs="Calibri"/>
          <w:lang w:val="el-GR"/>
        </w:rPr>
        <w:t>4 και 5, γεγονός που επιβεβαιώνει τη σημασία που αποδίδεται στην ενσωμάτωση των οριζόντιων αρχών για το περιβάλλον και την κλιματική αλλαγή</w:t>
      </w:r>
      <w:r>
        <w:rPr>
          <w:rFonts w:cs="Calibri"/>
          <w:lang w:val="el-GR"/>
        </w:rPr>
        <w:t>, στο πλαίσιο ενίσχυσης της ανταγωνιστικότητας και της βιωσιμότητας της Κυπριακής γεωργίας.</w:t>
      </w:r>
      <w:r w:rsidRPr="006F7D56">
        <w:rPr>
          <w:rFonts w:cs="Calibri"/>
          <w:lang w:val="el-GR"/>
        </w:rPr>
        <w:t xml:space="preserve"> Σ</w:t>
      </w:r>
      <w:r>
        <w:rPr>
          <w:rFonts w:cs="Calibri"/>
          <w:lang w:val="el-GR"/>
        </w:rPr>
        <w:t xml:space="preserve">ε επίπεδο </w:t>
      </w:r>
      <w:r w:rsidRPr="006F7D56">
        <w:rPr>
          <w:rFonts w:cs="Calibri"/>
          <w:lang w:val="el-GR"/>
        </w:rPr>
        <w:t>Μέτρων, η αρχή της αειφόρου ανάπτυξης εξυπηρετείται κυρίως από τα Μέτρα 1, 4, 8, 10, 11, 12, 13 και 16.</w:t>
      </w:r>
    </w:p>
    <w:p w14:paraId="4114E35C" w14:textId="77777777" w:rsidR="00CD5EEF" w:rsidRPr="006F7D56" w:rsidRDefault="00CD5EEF" w:rsidP="001C18AE">
      <w:pPr>
        <w:jc w:val="both"/>
        <w:rPr>
          <w:rFonts w:cs="Calibri"/>
          <w:lang w:val="el-GR"/>
        </w:rPr>
      </w:pPr>
      <w:r w:rsidRPr="006F7D56">
        <w:rPr>
          <w:rFonts w:cs="Calibri"/>
          <w:lang w:val="el-GR"/>
        </w:rPr>
        <w:t xml:space="preserve">Η διάσταση της αειφόρου ανάπτυξης είναι ενσωματωμένη και σε </w:t>
      </w:r>
      <w:r w:rsidRPr="006F7D56">
        <w:rPr>
          <w:rFonts w:cs="Calibri"/>
          <w:b/>
          <w:lang w:val="el-GR"/>
        </w:rPr>
        <w:t>εκ των προτέρων όρους</w:t>
      </w:r>
      <w:r w:rsidRPr="006F7D56">
        <w:rPr>
          <w:rFonts w:cs="Calibri"/>
          <w:lang w:val="el-GR"/>
        </w:rPr>
        <w:t>, οι οποίοι έχουν τεθεί για το ΠΑΑ και αφορούν την πρόληψη και διαχείριση κινδύνων με ειδική αναφορά στις επιπτώσεις της Κλιματικής Αλλαγής (</w:t>
      </w:r>
      <w:r w:rsidRPr="006F7D56">
        <w:rPr>
          <w:rFonts w:cs="Calibri"/>
        </w:rPr>
        <w:t>P</w:t>
      </w:r>
      <w:r w:rsidRPr="006F7D56">
        <w:rPr>
          <w:rFonts w:cs="Calibri"/>
          <w:lang w:val="el-GR"/>
        </w:rPr>
        <w:t>3.1), τις καλές γεωργικές και περιβαλλοντικές συνθήκες (</w:t>
      </w:r>
      <w:r w:rsidRPr="006F7D56">
        <w:rPr>
          <w:rFonts w:cs="Calibri"/>
        </w:rPr>
        <w:t>P</w:t>
      </w:r>
      <w:r w:rsidRPr="006F7D56">
        <w:rPr>
          <w:rFonts w:cs="Calibri"/>
          <w:lang w:val="el-GR"/>
        </w:rPr>
        <w:t>4.1), την ενεργειακή απόδοση (</w:t>
      </w:r>
      <w:r w:rsidRPr="006F7D56">
        <w:rPr>
          <w:rFonts w:cs="Calibri"/>
        </w:rPr>
        <w:t>P</w:t>
      </w:r>
      <w:r w:rsidRPr="006F7D56">
        <w:rPr>
          <w:rFonts w:cs="Calibri"/>
          <w:lang w:val="el-GR"/>
        </w:rPr>
        <w:t>5.1), την εφαρμογή της κοινοτικής νομοθεσίας για τους υδάτινους πόρους (</w:t>
      </w:r>
      <w:r w:rsidRPr="006F7D56">
        <w:rPr>
          <w:rFonts w:cs="Calibri"/>
        </w:rPr>
        <w:t>P</w:t>
      </w:r>
      <w:r w:rsidRPr="006F7D56">
        <w:rPr>
          <w:rFonts w:cs="Calibri"/>
          <w:lang w:val="el-GR"/>
        </w:rPr>
        <w:t>5.2), τις ανανεώσιμες πηγές ενέργειας (</w:t>
      </w:r>
      <w:r w:rsidRPr="006F7D56">
        <w:rPr>
          <w:rFonts w:cs="Calibri"/>
        </w:rPr>
        <w:t>P</w:t>
      </w:r>
      <w:r w:rsidRPr="006F7D56">
        <w:rPr>
          <w:rFonts w:cs="Calibri"/>
          <w:lang w:val="el-GR"/>
        </w:rPr>
        <w:t>5.3) και την περιβαλλοντική νομοθεσία σχετικά με την εκτίμηση περιβαλλοντικών επιπτώσεων και τη στρατηγική περιβαλλοντική εκτίμηση (</w:t>
      </w:r>
      <w:r w:rsidRPr="006F7D56">
        <w:rPr>
          <w:rFonts w:cs="Calibri"/>
        </w:rPr>
        <w:t>G</w:t>
      </w:r>
      <w:r w:rsidRPr="006F7D56">
        <w:rPr>
          <w:rFonts w:cs="Calibri"/>
          <w:lang w:val="el-GR"/>
        </w:rPr>
        <w:t xml:space="preserve">6). </w:t>
      </w:r>
    </w:p>
    <w:p w14:paraId="59631FA8" w14:textId="77777777" w:rsidR="00CD5EEF" w:rsidRPr="006F7D56" w:rsidRDefault="00CD5EEF" w:rsidP="001C18AE">
      <w:pPr>
        <w:jc w:val="both"/>
        <w:rPr>
          <w:rFonts w:cs="Calibri"/>
          <w:lang w:val="el-GR"/>
        </w:rPr>
      </w:pPr>
      <w:r w:rsidRPr="006F7D56">
        <w:rPr>
          <w:rFonts w:cs="Calibri"/>
          <w:lang w:val="el-GR"/>
        </w:rPr>
        <w:t>Στο ίδιο πλαίσιο σημειώνεται πως κατά την τελευταία πρόταση τροποποίησης του ΠΑΑ (11/2016) εντάχθηκαν τρεις (3) νέες αγροπεριβαλλοντικές δράσεις προς εξυπηρέτηση πρόσθετων περιβαλλοντικών στόχων. Τέλος, σημειώνεται ότι μέχρι το τέλος του 2016 είχαν πραγματοποιηθεί πληρωμές € 11,2 εκ. (συνεισφορά ΕΓΤΑΑ) σε Περιοχές Εστίασης που στοχεύουν στην κλιματική αλλαγή. Το συνολικό ποσό που είχε κατανεμηθεί κατά τον σχεδιασμό σε Περιοχές Εστίασης που στοχεύουν στην κλιματική αλλαγή ήταν €78,5 εκ. (συνεισφορά ΕΓΤΑΑ).</w:t>
      </w:r>
    </w:p>
    <w:p w14:paraId="4AC244B3" w14:textId="77777777" w:rsidR="00CD5EEF" w:rsidRDefault="00CD5EEF" w:rsidP="001C18AE">
      <w:pPr>
        <w:jc w:val="both"/>
        <w:rPr>
          <w:rFonts w:cs="Calibri"/>
          <w:lang w:val="el-GR"/>
        </w:rPr>
      </w:pPr>
      <w:r>
        <w:rPr>
          <w:rFonts w:cs="Calibri"/>
          <w:lang w:val="el-GR"/>
        </w:rPr>
        <w:t xml:space="preserve">Τέλος, </w:t>
      </w:r>
      <w:r w:rsidRPr="006F7D56">
        <w:rPr>
          <w:rFonts w:cs="Calibri"/>
          <w:b/>
          <w:lang w:val="el-GR"/>
        </w:rPr>
        <w:t xml:space="preserve">σε σχέση με το Ε.Π. «Θάλασσα» 2014-2020 </w:t>
      </w:r>
      <w:r w:rsidRPr="00F06CEC">
        <w:rPr>
          <w:rFonts w:cs="Calibri"/>
          <w:lang w:val="el-GR"/>
        </w:rPr>
        <w:t xml:space="preserve">έχουν γίνει ανάλογες ενέργειες ώστε οι Ενδιάμεσοι Φορείς, οι Δικαιούχοι και οι άλλοι εμπλεκόμενοι φορείς να λαμβάνουν τα κατάλληλα μέτρα </w:t>
      </w:r>
      <w:r w:rsidRPr="006F7D56">
        <w:rPr>
          <w:rFonts w:cs="Calibri"/>
          <w:lang w:val="el-GR"/>
        </w:rPr>
        <w:t xml:space="preserve">για την προώθηση της αειφόρου ανάπτυξης και </w:t>
      </w:r>
      <w:r>
        <w:rPr>
          <w:rFonts w:cs="Calibri"/>
          <w:lang w:val="el-GR"/>
        </w:rPr>
        <w:t xml:space="preserve">της </w:t>
      </w:r>
      <w:r w:rsidRPr="006F7D56">
        <w:rPr>
          <w:rFonts w:cs="Calibri"/>
          <w:lang w:val="el-GR"/>
        </w:rPr>
        <w:t>προστασίας και βελτίωσης του περιβάλλοντος</w:t>
      </w:r>
      <w:r>
        <w:rPr>
          <w:rFonts w:cs="Calibri"/>
          <w:lang w:val="el-GR"/>
        </w:rPr>
        <w:t>. Επίσης στο</w:t>
      </w:r>
      <w:r w:rsidRPr="006F7D56">
        <w:rPr>
          <w:rFonts w:cs="Calibri"/>
          <w:lang w:val="el-GR"/>
        </w:rPr>
        <w:t xml:space="preserve"> </w:t>
      </w:r>
      <w:r w:rsidRPr="006F7D56">
        <w:rPr>
          <w:rFonts w:cs="Calibri" w:hint="eastAsia"/>
          <w:lang w:val="el-GR"/>
        </w:rPr>
        <w:lastRenderedPageBreak/>
        <w:t>Φύλλο</w:t>
      </w:r>
      <w:r w:rsidRPr="006F7D56">
        <w:rPr>
          <w:rFonts w:cs="Calibri"/>
          <w:lang w:val="el-GR"/>
        </w:rPr>
        <w:t xml:space="preserve"> </w:t>
      </w:r>
      <w:r w:rsidRPr="006F7D56">
        <w:rPr>
          <w:rFonts w:cs="Calibri" w:hint="eastAsia"/>
          <w:lang w:val="el-GR"/>
        </w:rPr>
        <w:t>Αξιολόγησης</w:t>
      </w:r>
      <w:r w:rsidRPr="006F7D56">
        <w:rPr>
          <w:rFonts w:cs="Calibri"/>
          <w:lang w:val="el-GR"/>
        </w:rPr>
        <w:t xml:space="preserve"> </w:t>
      </w:r>
      <w:r w:rsidRPr="006F7D56">
        <w:rPr>
          <w:rFonts w:cs="Calibri" w:hint="eastAsia"/>
          <w:lang w:val="el-GR"/>
        </w:rPr>
        <w:t>των</w:t>
      </w:r>
      <w:r w:rsidRPr="006F7D56">
        <w:rPr>
          <w:rFonts w:cs="Calibri"/>
          <w:lang w:val="el-GR"/>
        </w:rPr>
        <w:t xml:space="preserve"> </w:t>
      </w:r>
      <w:r w:rsidRPr="006F7D56">
        <w:rPr>
          <w:rFonts w:cs="Calibri" w:hint="eastAsia"/>
          <w:lang w:val="el-GR"/>
        </w:rPr>
        <w:t>Έργων</w:t>
      </w:r>
      <w:r w:rsidRPr="006F7D56">
        <w:rPr>
          <w:rFonts w:cs="Calibri"/>
          <w:lang w:val="el-GR"/>
        </w:rPr>
        <w:t xml:space="preserve"> </w:t>
      </w:r>
      <w:r w:rsidRPr="006F7D56">
        <w:rPr>
          <w:rFonts w:cs="Calibri" w:hint="eastAsia"/>
          <w:lang w:val="el-GR"/>
        </w:rPr>
        <w:t>έχει</w:t>
      </w:r>
      <w:r w:rsidRPr="006F7D56">
        <w:rPr>
          <w:rFonts w:cs="Calibri"/>
          <w:lang w:val="el-GR"/>
        </w:rPr>
        <w:t xml:space="preserve"> </w:t>
      </w:r>
      <w:r w:rsidRPr="006F7D56">
        <w:rPr>
          <w:rFonts w:cs="Calibri" w:hint="eastAsia"/>
          <w:lang w:val="el-GR"/>
        </w:rPr>
        <w:t>συμπεριληφθεί</w:t>
      </w:r>
      <w:r w:rsidRPr="006F7D56">
        <w:rPr>
          <w:rFonts w:cs="Calibri"/>
          <w:lang w:val="el-GR"/>
        </w:rPr>
        <w:t xml:space="preserve"> </w:t>
      </w:r>
      <w:r w:rsidRPr="006F7D56">
        <w:rPr>
          <w:rFonts w:cs="Calibri" w:hint="eastAsia"/>
          <w:lang w:val="el-GR"/>
        </w:rPr>
        <w:t>κριτήριο</w:t>
      </w:r>
      <w:r w:rsidRPr="006F7D56">
        <w:rPr>
          <w:rFonts w:cs="Calibri"/>
          <w:lang w:val="el-GR"/>
        </w:rPr>
        <w:t xml:space="preserve"> </w:t>
      </w:r>
      <w:r w:rsidRPr="006F7D56">
        <w:rPr>
          <w:rFonts w:cs="Calibri" w:hint="eastAsia"/>
          <w:lang w:val="el-GR"/>
        </w:rPr>
        <w:t>με</w:t>
      </w:r>
      <w:r w:rsidRPr="006F7D56">
        <w:rPr>
          <w:rFonts w:cs="Calibri"/>
          <w:lang w:val="el-GR"/>
        </w:rPr>
        <w:t xml:space="preserve"> </w:t>
      </w:r>
      <w:r w:rsidRPr="006F7D56">
        <w:rPr>
          <w:rFonts w:cs="Calibri" w:hint="eastAsia"/>
          <w:lang w:val="el-GR"/>
        </w:rPr>
        <w:t>το</w:t>
      </w:r>
      <w:r w:rsidRPr="006F7D56">
        <w:rPr>
          <w:rFonts w:cs="Calibri"/>
          <w:lang w:val="el-GR"/>
        </w:rPr>
        <w:t xml:space="preserve"> </w:t>
      </w:r>
      <w:r w:rsidRPr="006F7D56">
        <w:rPr>
          <w:rFonts w:cs="Calibri" w:hint="eastAsia"/>
          <w:lang w:val="el-GR"/>
        </w:rPr>
        <w:t>οποίο</w:t>
      </w:r>
      <w:r>
        <w:rPr>
          <w:rFonts w:cs="Calibri"/>
          <w:lang w:val="el-GR"/>
        </w:rPr>
        <w:t xml:space="preserve"> </w:t>
      </w:r>
      <w:r w:rsidRPr="006F7D56">
        <w:rPr>
          <w:rFonts w:cs="Calibri" w:hint="eastAsia"/>
          <w:lang w:val="el-GR"/>
        </w:rPr>
        <w:t>ελέγχεται</w:t>
      </w:r>
      <w:r w:rsidRPr="006F7D56">
        <w:rPr>
          <w:rFonts w:cs="Calibri"/>
          <w:lang w:val="el-GR"/>
        </w:rPr>
        <w:t xml:space="preserve"> </w:t>
      </w:r>
      <w:r w:rsidRPr="006F7D56">
        <w:rPr>
          <w:rFonts w:cs="Calibri" w:hint="eastAsia"/>
          <w:lang w:val="el-GR"/>
        </w:rPr>
        <w:t>ο</w:t>
      </w:r>
      <w:r w:rsidRPr="006F7D56">
        <w:rPr>
          <w:rFonts w:cs="Calibri"/>
          <w:lang w:val="el-GR"/>
        </w:rPr>
        <w:t xml:space="preserve"> </w:t>
      </w:r>
      <w:r w:rsidRPr="006F7D56">
        <w:rPr>
          <w:rFonts w:cs="Calibri" w:hint="eastAsia"/>
          <w:lang w:val="el-GR"/>
        </w:rPr>
        <w:t>βαθμός</w:t>
      </w:r>
      <w:r w:rsidRPr="006F7D56">
        <w:rPr>
          <w:rFonts w:cs="Calibri"/>
          <w:lang w:val="el-GR"/>
        </w:rPr>
        <w:t xml:space="preserve"> </w:t>
      </w:r>
      <w:r w:rsidRPr="006F7D56">
        <w:rPr>
          <w:rFonts w:cs="Calibri" w:hint="eastAsia"/>
          <w:lang w:val="el-GR"/>
        </w:rPr>
        <w:t>συμβολής</w:t>
      </w:r>
      <w:r w:rsidRPr="006F7D56">
        <w:rPr>
          <w:rFonts w:cs="Calibri"/>
          <w:lang w:val="el-GR"/>
        </w:rPr>
        <w:t xml:space="preserve"> </w:t>
      </w:r>
      <w:r w:rsidRPr="006F7D56">
        <w:rPr>
          <w:rFonts w:cs="Calibri" w:hint="eastAsia"/>
          <w:lang w:val="el-GR"/>
        </w:rPr>
        <w:t>του</w:t>
      </w:r>
      <w:r w:rsidRPr="006F7D56">
        <w:rPr>
          <w:rFonts w:cs="Calibri"/>
          <w:lang w:val="el-GR"/>
        </w:rPr>
        <w:t xml:space="preserve"> </w:t>
      </w:r>
      <w:r w:rsidRPr="006F7D56">
        <w:rPr>
          <w:rFonts w:cs="Calibri" w:hint="eastAsia"/>
          <w:lang w:val="el-GR"/>
        </w:rPr>
        <w:t>έργου</w:t>
      </w:r>
      <w:r w:rsidRPr="006F7D56">
        <w:rPr>
          <w:rFonts w:cs="Calibri"/>
          <w:lang w:val="el-GR"/>
        </w:rPr>
        <w:t xml:space="preserve"> </w:t>
      </w:r>
      <w:r w:rsidRPr="006F7D56">
        <w:rPr>
          <w:rFonts w:cs="Calibri" w:hint="eastAsia"/>
          <w:lang w:val="el-GR"/>
        </w:rPr>
        <w:t>στο</w:t>
      </w:r>
      <w:r w:rsidRPr="006F7D56">
        <w:rPr>
          <w:rFonts w:cs="Calibri"/>
          <w:lang w:val="el-GR"/>
        </w:rPr>
        <w:t xml:space="preserve"> </w:t>
      </w:r>
      <w:r w:rsidRPr="006F7D56">
        <w:rPr>
          <w:rFonts w:cs="Calibri" w:hint="eastAsia"/>
          <w:lang w:val="el-GR"/>
        </w:rPr>
        <w:t>φυσικό</w:t>
      </w:r>
      <w:r w:rsidRPr="006F7D56">
        <w:rPr>
          <w:rFonts w:cs="Calibri"/>
          <w:lang w:val="el-GR"/>
        </w:rPr>
        <w:t xml:space="preserve"> </w:t>
      </w:r>
      <w:r w:rsidRPr="006F7D56">
        <w:rPr>
          <w:rFonts w:cs="Calibri" w:hint="eastAsia"/>
          <w:lang w:val="el-GR"/>
        </w:rPr>
        <w:t>περιβάλλον</w:t>
      </w:r>
      <w:r w:rsidRPr="006F7D56">
        <w:rPr>
          <w:rFonts w:cs="Calibri"/>
          <w:lang w:val="el-GR"/>
        </w:rPr>
        <w:t xml:space="preserve"> </w:t>
      </w:r>
      <w:r w:rsidRPr="006F7D56">
        <w:rPr>
          <w:rFonts w:cs="Calibri" w:hint="eastAsia"/>
          <w:lang w:val="el-GR"/>
        </w:rPr>
        <w:t>και</w:t>
      </w:r>
      <w:r w:rsidRPr="006F7D56">
        <w:rPr>
          <w:rFonts w:cs="Calibri"/>
          <w:lang w:val="el-GR"/>
        </w:rPr>
        <w:t xml:space="preserve"> </w:t>
      </w:r>
      <w:r w:rsidRPr="006F7D56">
        <w:rPr>
          <w:rFonts w:cs="Calibri" w:hint="eastAsia"/>
          <w:lang w:val="el-GR"/>
        </w:rPr>
        <w:t>στη</w:t>
      </w:r>
      <w:r>
        <w:rPr>
          <w:rFonts w:cs="Calibri"/>
          <w:lang w:val="el-GR"/>
        </w:rPr>
        <w:t xml:space="preserve"> </w:t>
      </w:r>
      <w:r w:rsidRPr="006F7D56">
        <w:rPr>
          <w:rFonts w:cs="Calibri" w:hint="eastAsia"/>
          <w:lang w:val="el-GR"/>
        </w:rPr>
        <w:t>δημιουργία</w:t>
      </w:r>
      <w:r w:rsidRPr="006F7D56">
        <w:rPr>
          <w:rFonts w:cs="Calibri"/>
          <w:lang w:val="el-GR"/>
        </w:rPr>
        <w:t>/</w:t>
      </w:r>
      <w:r w:rsidRPr="006F7D56">
        <w:rPr>
          <w:rFonts w:cs="Calibri" w:hint="eastAsia"/>
          <w:lang w:val="el-GR"/>
        </w:rPr>
        <w:t>ενίσχυση</w:t>
      </w:r>
      <w:r w:rsidRPr="006F7D56">
        <w:rPr>
          <w:rFonts w:cs="Calibri"/>
          <w:lang w:val="el-GR"/>
        </w:rPr>
        <w:t xml:space="preserve"> </w:t>
      </w:r>
      <w:r w:rsidRPr="006F7D56">
        <w:rPr>
          <w:rFonts w:cs="Calibri" w:hint="eastAsia"/>
          <w:lang w:val="el-GR"/>
        </w:rPr>
        <w:t>συνθηκών</w:t>
      </w:r>
      <w:r w:rsidRPr="006F7D56">
        <w:rPr>
          <w:rFonts w:cs="Calibri"/>
          <w:lang w:val="el-GR"/>
        </w:rPr>
        <w:t xml:space="preserve"> </w:t>
      </w:r>
      <w:r w:rsidRPr="006F7D56">
        <w:rPr>
          <w:rFonts w:cs="Calibri" w:hint="eastAsia"/>
          <w:lang w:val="el-GR"/>
        </w:rPr>
        <w:t>περιβαλλοντικής</w:t>
      </w:r>
      <w:r w:rsidRPr="006F7D56">
        <w:rPr>
          <w:rFonts w:cs="Calibri"/>
          <w:lang w:val="el-GR"/>
        </w:rPr>
        <w:t xml:space="preserve"> </w:t>
      </w:r>
      <w:r w:rsidRPr="006F7D56">
        <w:rPr>
          <w:rFonts w:cs="Calibri" w:hint="eastAsia"/>
          <w:lang w:val="el-GR"/>
        </w:rPr>
        <w:t>αειφορίας</w:t>
      </w:r>
      <w:r w:rsidRPr="006F7D56">
        <w:rPr>
          <w:rFonts w:cs="Calibri"/>
          <w:lang w:val="el-GR"/>
        </w:rPr>
        <w:t>.</w:t>
      </w:r>
      <w:r>
        <w:rPr>
          <w:rFonts w:cs="Calibri"/>
          <w:lang w:val="el-GR"/>
        </w:rPr>
        <w:t xml:space="preserve"> </w:t>
      </w:r>
    </w:p>
    <w:p w14:paraId="19D26A9C" w14:textId="77777777" w:rsidR="00CD5EEF" w:rsidRPr="006F7D56" w:rsidRDefault="00CD5EEF" w:rsidP="001C18AE">
      <w:pPr>
        <w:jc w:val="both"/>
        <w:rPr>
          <w:rFonts w:cs="Calibri"/>
          <w:lang w:val="el-GR"/>
        </w:rPr>
      </w:pPr>
      <w:r>
        <w:rPr>
          <w:rFonts w:cs="Calibri"/>
          <w:lang w:val="el-GR"/>
        </w:rPr>
        <w:t xml:space="preserve">Λαμβάνοντας </w:t>
      </w:r>
      <w:r w:rsidR="005319DD">
        <w:rPr>
          <w:rFonts w:cs="Calibri"/>
          <w:lang w:val="el-GR"/>
        </w:rPr>
        <w:t xml:space="preserve">υπόψη </w:t>
      </w:r>
      <w:r w:rsidRPr="006F7D56">
        <w:rPr>
          <w:rFonts w:cs="Calibri"/>
          <w:lang w:val="el-GR"/>
        </w:rPr>
        <w:t>τη</w:t>
      </w:r>
      <w:r w:rsidR="005319DD">
        <w:rPr>
          <w:rFonts w:cs="Calibri"/>
          <w:lang w:val="el-GR"/>
        </w:rPr>
        <w:t>ν</w:t>
      </w:r>
      <w:r w:rsidRPr="006F7D56">
        <w:rPr>
          <w:rFonts w:cs="Calibri"/>
          <w:lang w:val="el-GR"/>
        </w:rPr>
        <w:t xml:space="preserve"> </w:t>
      </w:r>
      <w:r w:rsidRPr="00067419">
        <w:rPr>
          <w:rFonts w:cs="Calibri"/>
          <w:b/>
          <w:lang w:val="el-GR"/>
        </w:rPr>
        <w:t>πορεία υλοποίησης του προγράμματος μέχρι την 31/12/2016</w:t>
      </w:r>
      <w:r w:rsidRPr="006F7D56">
        <w:rPr>
          <w:rFonts w:cs="Calibri"/>
          <w:lang w:val="el-GR"/>
        </w:rPr>
        <w:t>, ο ΕΦ έχει</w:t>
      </w:r>
      <w:r>
        <w:rPr>
          <w:rFonts w:cs="Calibri"/>
          <w:lang w:val="el-GR"/>
        </w:rPr>
        <w:t xml:space="preserve"> </w:t>
      </w:r>
      <w:r w:rsidRPr="006F7D56">
        <w:rPr>
          <w:rFonts w:cs="Calibri"/>
          <w:lang w:val="el-GR"/>
        </w:rPr>
        <w:t>εξασφαλίσει για τα 6 Σχέδια Χορηγιών που υλοποιήθηκαν ή υλοποιούνται,</w:t>
      </w:r>
      <w:r>
        <w:rPr>
          <w:rFonts w:cs="Calibri"/>
          <w:lang w:val="el-GR"/>
        </w:rPr>
        <w:t xml:space="preserve"> </w:t>
      </w:r>
      <w:r w:rsidRPr="006F7D56">
        <w:rPr>
          <w:rFonts w:cs="Calibri"/>
          <w:lang w:val="el-GR"/>
        </w:rPr>
        <w:t>γνωματεύσεις από το Τμήμα Περιβάλλοντος για τη διασφάλιση της συμβατότητας με</w:t>
      </w:r>
      <w:r>
        <w:rPr>
          <w:rFonts w:cs="Calibri"/>
          <w:lang w:val="el-GR"/>
        </w:rPr>
        <w:t xml:space="preserve"> </w:t>
      </w:r>
      <w:r w:rsidRPr="006F7D56">
        <w:rPr>
          <w:rFonts w:cs="Calibri"/>
          <w:lang w:val="el-GR"/>
        </w:rPr>
        <w:t>τις εθνικές και ενωσιακές πολιτικές για την προστασία του περιβάλλοντος και τη</w:t>
      </w:r>
      <w:r>
        <w:rPr>
          <w:rFonts w:cs="Calibri"/>
          <w:lang w:val="el-GR"/>
        </w:rPr>
        <w:t xml:space="preserve"> </w:t>
      </w:r>
      <w:r w:rsidRPr="006F7D56">
        <w:rPr>
          <w:rFonts w:cs="Calibri"/>
          <w:lang w:val="el-GR"/>
        </w:rPr>
        <w:t>βιώσιμη ανάπτυξη και σε όλες τις περιπτώσεις η συμβολή των Σχεδίων λόγω της φύσης</w:t>
      </w:r>
      <w:r>
        <w:rPr>
          <w:rFonts w:cs="Calibri"/>
          <w:lang w:val="el-GR"/>
        </w:rPr>
        <w:t xml:space="preserve"> </w:t>
      </w:r>
      <w:r w:rsidRPr="006F7D56">
        <w:rPr>
          <w:rFonts w:cs="Calibri"/>
          <w:lang w:val="el-GR"/>
        </w:rPr>
        <w:t>τους είναι «ουδέτερη». Επίσης, σε ότι αφορά το Σχέδιο για τις παραγωγικές επενδύσεις</w:t>
      </w:r>
      <w:r>
        <w:rPr>
          <w:rFonts w:cs="Calibri"/>
          <w:lang w:val="el-GR"/>
        </w:rPr>
        <w:t xml:space="preserve"> </w:t>
      </w:r>
      <w:r w:rsidRPr="006F7D56">
        <w:rPr>
          <w:rFonts w:cs="Calibri"/>
          <w:lang w:val="el-GR"/>
        </w:rPr>
        <w:t>στην υδατοκαλλιέργεια, μέσω του Μέτρου 2.2, έγιναν προσαρμογές βάσει των σχολίων</w:t>
      </w:r>
      <w:r>
        <w:rPr>
          <w:rFonts w:cs="Calibri"/>
          <w:lang w:val="el-GR"/>
        </w:rPr>
        <w:t xml:space="preserve"> </w:t>
      </w:r>
      <w:r w:rsidRPr="006F7D56">
        <w:rPr>
          <w:rFonts w:cs="Calibri"/>
          <w:lang w:val="el-GR"/>
        </w:rPr>
        <w:t>της αρμόδιας υπηρεσίας.</w:t>
      </w:r>
    </w:p>
    <w:p w14:paraId="3850A582" w14:textId="77777777" w:rsidR="00CD5EEF" w:rsidRDefault="00CD5EEF" w:rsidP="001C18AE">
      <w:pPr>
        <w:jc w:val="both"/>
        <w:rPr>
          <w:rFonts w:cs="Calibri"/>
          <w:lang w:val="el-GR"/>
        </w:rPr>
      </w:pPr>
      <w:r w:rsidRPr="006F7D56">
        <w:rPr>
          <w:rFonts w:cs="Calibri"/>
          <w:lang w:val="el-GR"/>
        </w:rPr>
        <w:t xml:space="preserve">Σε ότι αφορά την </w:t>
      </w:r>
      <w:r w:rsidRPr="00F06CEC">
        <w:rPr>
          <w:rFonts w:cs="Calibri"/>
          <w:b/>
          <w:lang w:val="el-GR"/>
        </w:rPr>
        <w:t>υλοποίηση των Μέτρων</w:t>
      </w:r>
      <w:r w:rsidRPr="006F7D56">
        <w:rPr>
          <w:rFonts w:cs="Calibri"/>
          <w:lang w:val="el-GR"/>
        </w:rPr>
        <w:t xml:space="preserve"> που συμβάλουν στην επίτευξη του</w:t>
      </w:r>
      <w:r>
        <w:rPr>
          <w:rFonts w:cs="Calibri"/>
          <w:lang w:val="el-GR"/>
        </w:rPr>
        <w:t xml:space="preserve"> Θ.Σ.</w:t>
      </w:r>
      <w:r w:rsidRPr="006F7D56">
        <w:rPr>
          <w:rFonts w:cs="Calibri"/>
          <w:lang w:val="el-GR"/>
        </w:rPr>
        <w:t xml:space="preserve"> 6 για την προστασία του περιβάλλοντος και την προώθηση </w:t>
      </w:r>
      <w:r>
        <w:rPr>
          <w:rFonts w:cs="Calibri"/>
          <w:lang w:val="el-GR"/>
        </w:rPr>
        <w:t xml:space="preserve">της </w:t>
      </w:r>
      <w:r w:rsidRPr="006F7D56">
        <w:rPr>
          <w:rFonts w:cs="Calibri"/>
          <w:lang w:val="el-GR"/>
        </w:rPr>
        <w:t>αποδοτικότητας των πόρων, έχει υλοποιηθεί μόνο το Σχέδιο της απόσυρσης των</w:t>
      </w:r>
      <w:r>
        <w:rPr>
          <w:rFonts w:cs="Calibri"/>
          <w:lang w:val="el-GR"/>
        </w:rPr>
        <w:t xml:space="preserve"> </w:t>
      </w:r>
      <w:r w:rsidRPr="006F7D56">
        <w:rPr>
          <w:rFonts w:cs="Calibri"/>
          <w:lang w:val="el-GR"/>
        </w:rPr>
        <w:t>αλιευτικών σκαφών του Μέτρου 1.10 που αναμένεται να συμβάλει στη βιώσιμη</w:t>
      </w:r>
      <w:r>
        <w:rPr>
          <w:rFonts w:cs="Calibri"/>
          <w:lang w:val="el-GR"/>
        </w:rPr>
        <w:t xml:space="preserve"> </w:t>
      </w:r>
      <w:r w:rsidRPr="006F7D56">
        <w:rPr>
          <w:rFonts w:cs="Calibri"/>
          <w:lang w:val="el-GR"/>
        </w:rPr>
        <w:t>διαχείριση των αλιευτικών αποθεμάτων και τα αποτελέσματα θα διαφανούν στα</w:t>
      </w:r>
      <w:r>
        <w:rPr>
          <w:rFonts w:cs="Calibri"/>
          <w:lang w:val="el-GR"/>
        </w:rPr>
        <w:t xml:space="preserve"> </w:t>
      </w:r>
      <w:r w:rsidRPr="006F7D56">
        <w:rPr>
          <w:rFonts w:cs="Calibri"/>
          <w:lang w:val="el-GR"/>
        </w:rPr>
        <w:t>μελλοντικά έτη μέσα από τις εκθέσεις αλιευτικής ικανότητας. Η συμβολή των</w:t>
      </w:r>
      <w:r>
        <w:rPr>
          <w:rFonts w:cs="Calibri"/>
          <w:lang w:val="el-GR"/>
        </w:rPr>
        <w:t xml:space="preserve"> </w:t>
      </w:r>
      <w:r w:rsidRPr="006F7D56">
        <w:rPr>
          <w:rFonts w:cs="Calibri"/>
          <w:lang w:val="el-GR"/>
        </w:rPr>
        <w:t>υπόλοιπων Μέτρων της ΠΕ1, ΠΕ3 και της ΠΕ6 που επίσης συμβάλλουν στην επίτευξη</w:t>
      </w:r>
      <w:r>
        <w:rPr>
          <w:rFonts w:cs="Calibri"/>
          <w:lang w:val="el-GR"/>
        </w:rPr>
        <w:t xml:space="preserve"> </w:t>
      </w:r>
      <w:r w:rsidRPr="006F7D56">
        <w:rPr>
          <w:rFonts w:cs="Calibri"/>
          <w:lang w:val="el-GR"/>
        </w:rPr>
        <w:t>του ΘΣ6 θα διαφανεί στο μέλλον με την ενεργοποίηση των Μέτρων και την υλοποίηση</w:t>
      </w:r>
      <w:r>
        <w:rPr>
          <w:rFonts w:cs="Calibri"/>
          <w:lang w:val="el-GR"/>
        </w:rPr>
        <w:t xml:space="preserve"> </w:t>
      </w:r>
      <w:r w:rsidRPr="006F7D56">
        <w:rPr>
          <w:rFonts w:cs="Calibri"/>
          <w:lang w:val="el-GR"/>
        </w:rPr>
        <w:t>των αντίστοιχων έργων.</w:t>
      </w:r>
    </w:p>
    <w:p w14:paraId="08EA46F8" w14:textId="77777777" w:rsidR="00686B8D" w:rsidRPr="0081076F" w:rsidRDefault="00686B8D" w:rsidP="0081076F">
      <w:pPr>
        <w:rPr>
          <w:lang w:val="el-GR"/>
        </w:rPr>
      </w:pPr>
    </w:p>
    <w:p w14:paraId="1EB14A4C" w14:textId="56ACD8FC" w:rsidR="0081076F" w:rsidRPr="00853881" w:rsidRDefault="0081076F" w:rsidP="001C18AE">
      <w:pPr>
        <w:spacing w:line="240" w:lineRule="auto"/>
        <w:jc w:val="both"/>
        <w:rPr>
          <w:b/>
          <w:i/>
          <w:lang w:val="el-GR"/>
        </w:rPr>
      </w:pPr>
      <w:r w:rsidRPr="00853881">
        <w:rPr>
          <w:b/>
          <w:i/>
          <w:lang w:val="el-GR"/>
        </w:rPr>
        <w:t xml:space="preserve">β) Συνοπτική παρουσίαση των ρυθμίσεων που τέθηκαν σε εφαρμογή για την εξασφάλιση της ενσωμάτωσης των οριζόντιων στόχων πολιτικής, με αναφορά στο περιεχόμενο </w:t>
      </w:r>
      <w:r w:rsidR="00853881">
        <w:rPr>
          <w:b/>
          <w:i/>
          <w:lang w:val="el-GR"/>
        </w:rPr>
        <w:t>της</w:t>
      </w:r>
      <w:r w:rsidRPr="00853881">
        <w:rPr>
          <w:b/>
          <w:i/>
          <w:lang w:val="el-GR"/>
        </w:rPr>
        <w:t xml:space="preserve"> </w:t>
      </w:r>
      <w:r w:rsidR="00853881">
        <w:rPr>
          <w:b/>
          <w:i/>
          <w:lang w:val="el-GR"/>
        </w:rPr>
        <w:t>Συμφωνίας</w:t>
      </w:r>
      <w:r w:rsidRPr="00853881">
        <w:rPr>
          <w:b/>
          <w:i/>
          <w:lang w:val="el-GR"/>
        </w:rPr>
        <w:t xml:space="preserve"> </w:t>
      </w:r>
      <w:r w:rsidR="00853881">
        <w:rPr>
          <w:b/>
          <w:i/>
          <w:lang w:val="el-GR"/>
        </w:rPr>
        <w:t>Ε</w:t>
      </w:r>
      <w:r w:rsidRPr="00853881">
        <w:rPr>
          <w:b/>
          <w:i/>
          <w:lang w:val="el-GR"/>
        </w:rPr>
        <w:t xml:space="preserve">ταιρικής </w:t>
      </w:r>
      <w:r w:rsidR="00853881">
        <w:rPr>
          <w:b/>
          <w:i/>
          <w:lang w:val="el-GR"/>
        </w:rPr>
        <w:t>Σ</w:t>
      </w:r>
      <w:r w:rsidRPr="00853881">
        <w:rPr>
          <w:b/>
          <w:i/>
          <w:lang w:val="el-GR"/>
        </w:rPr>
        <w:t>χέσης.</w:t>
      </w:r>
    </w:p>
    <w:p w14:paraId="127C13EA" w14:textId="77777777" w:rsidR="00CD5EEF" w:rsidRPr="006F7D56" w:rsidRDefault="00CD5EEF" w:rsidP="001C18AE">
      <w:pPr>
        <w:jc w:val="both"/>
        <w:rPr>
          <w:lang w:val="el-GR"/>
        </w:rPr>
      </w:pPr>
      <w:r w:rsidRPr="006F7D56">
        <w:rPr>
          <w:lang w:val="el-GR"/>
        </w:rPr>
        <w:t xml:space="preserve">Σε ότι αφορά τη διασφάλιση των αρχών της Ισότητας και Μη Διάκρισης, η Κύπρος διαθέτει ισχυρό νομικό πλαίσιο, καθώς και τους απαραίτητους θεσμικούς μηχανισμούς εφαρμογής και επιτήρησης για τη διασφάλιση των συγκεκριμένων όρων στα έργα που συγχρηματοδοτούνται από τα ΕΔΕΤ. Επίσης, σε ότι αφορά τη διασφάλιση της Προσβασιμότητας, η Κύπρος συμμορφώνεται με τη Σύμβαση των Ηνωμένων Εθνών για τα δικαιώματα των Ατόμων με Αναπηρίες, ως προς τις απαιτούμενες νομοθεσίες, πολιτικές και δραστηριότητες. Με βάση τον περί Καταπολέμησης των Φυλετικών και Άλλων Διακρίσεων Νόμο αρ.Ν.42(Ι)2004, έχουν θεσπιστεί </w:t>
      </w:r>
      <w:r w:rsidRPr="006F7D56">
        <w:rPr>
          <w:b/>
          <w:lang w:val="el-GR"/>
        </w:rPr>
        <w:t>δύο Ανεξάρτητες Αρχές στο Γραφείο του Επίτροπου Διοικήσεως</w:t>
      </w:r>
      <w:r w:rsidRPr="006F7D56">
        <w:rPr>
          <w:lang w:val="el-GR"/>
        </w:rPr>
        <w:t xml:space="preserve">, </w:t>
      </w:r>
      <w:r w:rsidRPr="006F7D56">
        <w:rPr>
          <w:b/>
          <w:lang w:val="el-GR"/>
        </w:rPr>
        <w:t>η «Αρχή Ισότητας» και η «Αρχή κατά των Διακρίσεων».</w:t>
      </w:r>
      <w:r w:rsidRPr="006F7D56">
        <w:rPr>
          <w:lang w:val="el-GR"/>
        </w:rPr>
        <w:t xml:space="preserve"> Παράλληλα, έχει συσταθεί η </w:t>
      </w:r>
      <w:r w:rsidRPr="006F7D56">
        <w:rPr>
          <w:b/>
          <w:lang w:val="el-GR"/>
        </w:rPr>
        <w:t>«Επιτροπή Ισότητας των Φύλων στην Απασχόληση και Επαγγελματική Εκπαίδευση»</w:t>
      </w:r>
      <w:r w:rsidRPr="006F7D56">
        <w:rPr>
          <w:lang w:val="el-GR"/>
        </w:rPr>
        <w:t xml:space="preserve"> με συμβουλευτικό ρόλο ως προς την παρακολούθηση της εφαρμογής του Νόμου Ν.205(Ι)2002. Η σημαντικότερη αρμοδιότητα της Επιτροπής είναι η παροχή ανεξάρτητης συνδρομής στα θύματα των διακρίσεων, δηλαδή η παροχή νομικής συμβουλής και νομικής αρωγής, καθώς και η εκπροσώπηση των θυμάτων διάκρισης ενώπιον Δικαστηρίων και άλλων αρμόδιων αρχών. Για την καλύτερη παρακολούθηση της εφαρμογής του περί Ίσης Μεταχείρισης στην Απασχόληση και την Εργασία Νόμου αρ. Ν.58(Ι)2004, ο Υπουργός Εργασίας και Κοινωνικών Ασφαλίσεων ορίζει </w:t>
      </w:r>
      <w:r w:rsidRPr="006F7D56">
        <w:rPr>
          <w:b/>
          <w:lang w:val="el-GR"/>
        </w:rPr>
        <w:t>«Επιθεωρητές Ισότητας» στο Τμήμα Εργασίας</w:t>
      </w:r>
      <w:r w:rsidRPr="006F7D56">
        <w:rPr>
          <w:lang w:val="el-GR"/>
        </w:rPr>
        <w:t xml:space="preserve">. Επίσης, το Υπουργικό Συμβούλιο έχει ορίσει τους μηχανισμούς εφαρμογής και παρακολούθησης της Σύμβασης των Ηνωμένων Εθνών για τα δικαιώματα των Ατόμων με Αναπηρίες. </w:t>
      </w:r>
    </w:p>
    <w:p w14:paraId="3D14A45E" w14:textId="77777777" w:rsidR="00CD5EEF" w:rsidRPr="006F7D56" w:rsidRDefault="00CD5EEF" w:rsidP="001C18AE">
      <w:pPr>
        <w:jc w:val="both"/>
        <w:rPr>
          <w:lang w:val="el-GR"/>
        </w:rPr>
      </w:pPr>
      <w:r w:rsidRPr="006F7D56">
        <w:rPr>
          <w:lang w:val="el-GR"/>
        </w:rPr>
        <w:lastRenderedPageBreak/>
        <w:t xml:space="preserve">Οι αρμόδιες Αρχές για την ισότητα των φύλων και την προστασία των ατόμων με αναπηρία έχουν συμβουλευτικό ρόλο και συμμετέχουν στη Συμβουλευτική Επιτροπή, στην Επιτροπή Συντονισμού και στις Επιτροπές Παρακολούθησης των Προγραμμάτων των ΕΔΕΤ. </w:t>
      </w:r>
    </w:p>
    <w:p w14:paraId="5BF27201" w14:textId="77777777" w:rsidR="00CD5EEF" w:rsidRDefault="00CD5EEF" w:rsidP="001C18AE">
      <w:pPr>
        <w:jc w:val="both"/>
        <w:rPr>
          <w:lang w:val="el-GR"/>
        </w:rPr>
      </w:pPr>
      <w:r w:rsidRPr="00037503">
        <w:rPr>
          <w:lang w:val="el-GR"/>
        </w:rPr>
        <w:t xml:space="preserve">Ειδικότερα, στην </w:t>
      </w:r>
      <w:r w:rsidRPr="0098101E">
        <w:rPr>
          <w:b/>
          <w:lang w:val="el-GR"/>
        </w:rPr>
        <w:t>Επιτροπή Παρακολούθησης των Προγραμμάτων που συγχρηματοδοτούνται από το</w:t>
      </w:r>
      <w:r w:rsidRPr="00037503">
        <w:rPr>
          <w:lang w:val="el-GR"/>
        </w:rPr>
        <w:t xml:space="preserve"> </w:t>
      </w:r>
      <w:r w:rsidRPr="00037503">
        <w:rPr>
          <w:b/>
          <w:lang w:val="el-GR"/>
        </w:rPr>
        <w:t>ΕΚΤ, το ΕΤΠΑ και το Ταμείο Συνοχής</w:t>
      </w:r>
      <w:r w:rsidRPr="00037503">
        <w:rPr>
          <w:lang w:val="el-GR"/>
        </w:rPr>
        <w:t xml:space="preserve">, συμμετέχουν με δικαίωμα ψήφου από την πλευρά των Δημοσίων Αρχών το Γραφείο Επιτρόπου Διοικήσεως και Ανθρωπίνων Δικαιωμάτων (Αρχή Ισότητας και Αρχή κατά των Διακρίσεων), ο Εθνικός Μηχανισμός για τα Δικαιώματα της Γυναίκας και η Επιτροπή Ισότητας των Φύλων στην Απασχόληση και Επαγγελματική Εκπαίδευση, και από την πλευρά της Κοινωνίας των Πολιτών η Κυπριακή Συνομοσπονδία Οργανώσεων Ανάπηρων και η Οργάνωση Παραπληγικών Κύπρου. Σε ότι αφορά την </w:t>
      </w:r>
      <w:r w:rsidRPr="00037503">
        <w:rPr>
          <w:b/>
          <w:lang w:val="el-GR"/>
        </w:rPr>
        <w:t>Επιτροπή Παρακολούθησης του ΠΑΑ</w:t>
      </w:r>
      <w:r w:rsidRPr="00037503">
        <w:rPr>
          <w:lang w:val="el-GR"/>
        </w:rPr>
        <w:t xml:space="preserve"> και με βάση τον Εσωτερικό Κανονισμό Λειτουργίας της, σε αυτή συμμετέχει, με δικαίωμα ψήφου, ο Εθνικός Μηχανισμός για τα Δικαιώματα της Γυναίκας (Υπουργείο Δικαιοσύνης και Δημόσιας Τάξης).</w:t>
      </w:r>
    </w:p>
    <w:p w14:paraId="7F0C719E" w14:textId="77777777" w:rsidR="00CD5EEF" w:rsidRDefault="00CD5EEF" w:rsidP="001C18AE">
      <w:pPr>
        <w:jc w:val="both"/>
        <w:rPr>
          <w:lang w:val="el-GR"/>
        </w:rPr>
      </w:pPr>
      <w:r>
        <w:rPr>
          <w:lang w:val="el-GR"/>
        </w:rPr>
        <w:t xml:space="preserve">Αντίστοιχα, στην </w:t>
      </w:r>
      <w:r w:rsidRPr="00F06CEC">
        <w:rPr>
          <w:b/>
          <w:lang w:val="el-GR"/>
        </w:rPr>
        <w:t>Επιτροπή Παρακολούθησης του Ε.Π. «Θάλασσα» 2014-2020</w:t>
      </w:r>
      <w:r w:rsidRPr="00037503">
        <w:rPr>
          <w:rFonts w:cs="Calibri" w:hint="eastAsia"/>
          <w:lang w:val="el-GR"/>
        </w:rPr>
        <w:t xml:space="preserve"> </w:t>
      </w:r>
      <w:r w:rsidRPr="00F06CEC">
        <w:rPr>
          <w:lang w:val="el-GR"/>
        </w:rPr>
        <w:t>συμμετέχουν οι αρμόδιοι φορείς για θέματα ισότητας και συγκεκριμένα ο Εθνικός Μηχανισμός για τα Δικαιώματα της Γυναίκας και το Υπουργείο Εργασίας, Πρόνοιας και Κοινωνικών Ασφαλίσεων για θέματα μη διάκρισης</w:t>
      </w:r>
      <w:r>
        <w:rPr>
          <w:lang w:val="el-GR"/>
        </w:rPr>
        <w:t xml:space="preserve">, και αρμόδιοι φορείς για θέματα </w:t>
      </w:r>
      <w:r w:rsidRPr="00037503">
        <w:rPr>
          <w:rFonts w:hint="eastAsia"/>
          <w:lang w:val="el-GR"/>
        </w:rPr>
        <w:t>αειφορίας</w:t>
      </w:r>
      <w:r w:rsidRPr="00037503">
        <w:rPr>
          <w:lang w:val="el-GR"/>
        </w:rPr>
        <w:t xml:space="preserve"> </w:t>
      </w:r>
      <w:r w:rsidRPr="00037503">
        <w:rPr>
          <w:rFonts w:hint="eastAsia"/>
          <w:lang w:val="el-GR"/>
        </w:rPr>
        <w:t>και</w:t>
      </w:r>
      <w:r w:rsidRPr="00037503">
        <w:rPr>
          <w:lang w:val="el-GR"/>
        </w:rPr>
        <w:t xml:space="preserve"> </w:t>
      </w:r>
      <w:r w:rsidRPr="00037503">
        <w:rPr>
          <w:rFonts w:hint="eastAsia"/>
          <w:lang w:val="el-GR"/>
        </w:rPr>
        <w:t>περιβάλλοντος</w:t>
      </w:r>
      <w:r>
        <w:rPr>
          <w:lang w:val="el-GR"/>
        </w:rPr>
        <w:t>, δηλαδή</w:t>
      </w:r>
      <w:r w:rsidRPr="00037503">
        <w:rPr>
          <w:rFonts w:hint="eastAsia"/>
          <w:lang w:val="el-GR"/>
        </w:rPr>
        <w:t xml:space="preserve"> το</w:t>
      </w:r>
      <w:r w:rsidRPr="00037503">
        <w:rPr>
          <w:lang w:val="el-GR"/>
        </w:rPr>
        <w:t xml:space="preserve"> </w:t>
      </w:r>
      <w:r w:rsidRPr="00037503">
        <w:rPr>
          <w:rFonts w:hint="eastAsia"/>
          <w:lang w:val="el-GR"/>
        </w:rPr>
        <w:t>Τμήμα</w:t>
      </w:r>
      <w:r w:rsidRPr="00037503">
        <w:rPr>
          <w:lang w:val="el-GR"/>
        </w:rPr>
        <w:t xml:space="preserve"> </w:t>
      </w:r>
      <w:r w:rsidRPr="00037503">
        <w:rPr>
          <w:rFonts w:hint="eastAsia"/>
          <w:lang w:val="el-GR"/>
        </w:rPr>
        <w:t>Περιβάλλοντος</w:t>
      </w:r>
      <w:r w:rsidRPr="00037503">
        <w:rPr>
          <w:lang w:val="el-GR"/>
        </w:rPr>
        <w:t xml:space="preserve"> </w:t>
      </w:r>
      <w:r w:rsidRPr="00037503">
        <w:rPr>
          <w:rFonts w:hint="eastAsia"/>
          <w:lang w:val="el-GR"/>
        </w:rPr>
        <w:t>του</w:t>
      </w:r>
      <w:r w:rsidRPr="00037503">
        <w:rPr>
          <w:lang w:val="el-GR"/>
        </w:rPr>
        <w:t xml:space="preserve"> </w:t>
      </w:r>
      <w:r w:rsidRPr="00037503">
        <w:rPr>
          <w:rFonts w:hint="eastAsia"/>
          <w:lang w:val="el-GR"/>
        </w:rPr>
        <w:t>Υπουργείου</w:t>
      </w:r>
      <w:r w:rsidRPr="00037503">
        <w:rPr>
          <w:lang w:val="el-GR"/>
        </w:rPr>
        <w:t xml:space="preserve"> </w:t>
      </w:r>
      <w:r w:rsidRPr="00037503">
        <w:rPr>
          <w:rFonts w:hint="eastAsia"/>
          <w:lang w:val="el-GR"/>
        </w:rPr>
        <w:t>Γεωργίας</w:t>
      </w:r>
      <w:r w:rsidRPr="00037503">
        <w:rPr>
          <w:lang w:val="el-GR"/>
        </w:rPr>
        <w:t xml:space="preserve">, </w:t>
      </w:r>
      <w:r w:rsidRPr="00037503">
        <w:rPr>
          <w:rFonts w:hint="eastAsia"/>
          <w:lang w:val="el-GR"/>
        </w:rPr>
        <w:t>Αγροτικής</w:t>
      </w:r>
      <w:r w:rsidRPr="00037503">
        <w:rPr>
          <w:lang w:val="el-GR"/>
        </w:rPr>
        <w:t xml:space="preserve"> </w:t>
      </w:r>
      <w:r w:rsidRPr="00037503">
        <w:rPr>
          <w:rFonts w:hint="eastAsia"/>
          <w:lang w:val="el-GR"/>
        </w:rPr>
        <w:t>Ανάπτυξης</w:t>
      </w:r>
      <w:r w:rsidRPr="00037503">
        <w:rPr>
          <w:lang w:val="el-GR"/>
        </w:rPr>
        <w:t xml:space="preserve"> </w:t>
      </w:r>
      <w:r w:rsidRPr="00037503">
        <w:rPr>
          <w:rFonts w:hint="eastAsia"/>
          <w:lang w:val="el-GR"/>
        </w:rPr>
        <w:t>και</w:t>
      </w:r>
      <w:r w:rsidRPr="00037503">
        <w:rPr>
          <w:lang w:val="el-GR"/>
        </w:rPr>
        <w:t xml:space="preserve"> </w:t>
      </w:r>
      <w:r w:rsidRPr="00037503">
        <w:rPr>
          <w:rFonts w:hint="eastAsia"/>
          <w:lang w:val="el-GR"/>
        </w:rPr>
        <w:t>Περιβάλλοντος</w:t>
      </w:r>
      <w:r w:rsidRPr="00037503">
        <w:rPr>
          <w:lang w:val="el-GR"/>
        </w:rPr>
        <w:t xml:space="preserve">, </w:t>
      </w:r>
      <w:r w:rsidRPr="00037503">
        <w:rPr>
          <w:rFonts w:hint="eastAsia"/>
          <w:lang w:val="el-GR"/>
        </w:rPr>
        <w:t>καθώς</w:t>
      </w:r>
      <w:r w:rsidRPr="00037503">
        <w:rPr>
          <w:lang w:val="el-GR"/>
        </w:rPr>
        <w:t xml:space="preserve"> </w:t>
      </w:r>
      <w:r w:rsidRPr="00037503">
        <w:rPr>
          <w:rFonts w:hint="eastAsia"/>
          <w:lang w:val="el-GR"/>
        </w:rPr>
        <w:t>και</w:t>
      </w:r>
      <w:r>
        <w:rPr>
          <w:lang w:val="el-GR"/>
        </w:rPr>
        <w:t xml:space="preserve"> σχετικές </w:t>
      </w:r>
      <w:r w:rsidRPr="00037503">
        <w:rPr>
          <w:rFonts w:hint="eastAsia"/>
          <w:lang w:val="el-GR"/>
        </w:rPr>
        <w:t>ΜΚΟ</w:t>
      </w:r>
      <w:r>
        <w:rPr>
          <w:lang w:val="el-GR"/>
        </w:rPr>
        <w:t>.</w:t>
      </w:r>
    </w:p>
    <w:p w14:paraId="1B6FB1C3" w14:textId="77777777" w:rsidR="00CD5EEF" w:rsidRPr="00037503" w:rsidRDefault="00CD5EEF" w:rsidP="001C18AE">
      <w:pPr>
        <w:jc w:val="both"/>
        <w:rPr>
          <w:lang w:val="el-GR"/>
        </w:rPr>
      </w:pPr>
      <w:r w:rsidRPr="00037503">
        <w:rPr>
          <w:lang w:val="el-GR"/>
        </w:rPr>
        <w:t>Στη Συμβουλευτική Επιτροπή Σχεδιασμού και Στρατηγικής Παρακολούθησης των Προγραμματικών Εγγράφων για την περίοδο 2014-2020 συμμετέχουν ο Επίτροπος Διοίκησης, ο Εθνικός Μηχανισμός για τα Δικαιώματα της Γυναίκας και η Κυπριακή Συνομοσπονδία Οργανώσεων Ανάπηρων. Επίσης, στη Συμβουλευτική Επιτροπή και στην Επιτροπή Συντονισμού των Προγραμμάτων των ΕΔΕΤ, συμμετέχει εκπρόσωπος του Υπουργείου Εργασίας και Κοινωνικών Ασφαλίσεων.</w:t>
      </w:r>
    </w:p>
    <w:p w14:paraId="270346F4" w14:textId="77777777" w:rsidR="0081076F" w:rsidRDefault="00CD5EEF" w:rsidP="001C18AE">
      <w:pPr>
        <w:jc w:val="both"/>
        <w:rPr>
          <w:lang w:val="el-GR"/>
        </w:rPr>
      </w:pPr>
      <w:r w:rsidRPr="00037503">
        <w:rPr>
          <w:lang w:val="el-GR"/>
        </w:rPr>
        <w:t>Τέλος, η προώθηση της αρχής της ίσης μεταχείρισης επιτυγχάνεται μέσω των παρεμβάσεων της Αρχής Ισότητας και της Αρχής κατά των Διακρίσεων και την υποβολή προτάσεων/εισηγήσεων, καθώς και με την έκδοση εγχειριδίων και καλών πρακτικών/ κατευθυντήριων αρχών για ειδικότερα θέματα που σχετίζονται με τη μη διάκριση. Παράλληλα, έχει εκπονηθεί το «Εθνικό Σχέδιο Δράσης για την Ισότητα των Φύλων 2014-2017» από τον Εθνικό Μηχανισμό για τα Δικαιώματα της Γυναίκας καθώς και το «Εθνικό Σχέδιο Δράσης για την Αναπηρία 2013-2015», στο οποίο εξειδικεύονται όλα τα απαραίτητα μέτρα και δράσεις προς ικανοποίηση των αναγκών που εντοπίζονται στα πλαίσια της Εθνικής Έκθεσης για  την  Εφαρμογή  της  Σύμβασης  του  Οργανισμού  Ηνωμένων  Εθνών  για  τα  Δικαιώματα  των  Ατόμων  με  Αναπηρίες. Την τρέχουσα περίοδο προετοιμάζεται το Σχέδιο Δράσης που θα καλύψει την περίοδο 2017-2020.</w:t>
      </w:r>
    </w:p>
    <w:p w14:paraId="43C5D28F" w14:textId="77777777" w:rsidR="00CD5EEF" w:rsidRPr="0081076F" w:rsidRDefault="00CD5EEF" w:rsidP="001C18AE">
      <w:pPr>
        <w:spacing w:after="0" w:line="240" w:lineRule="auto"/>
        <w:rPr>
          <w:lang w:val="el-GR"/>
        </w:rPr>
      </w:pPr>
    </w:p>
    <w:p w14:paraId="172BA293" w14:textId="2A3A16A0" w:rsidR="0081076F" w:rsidRDefault="0081076F" w:rsidP="0081076F">
      <w:pPr>
        <w:rPr>
          <w:b/>
          <w:i/>
          <w:lang w:val="el-GR"/>
        </w:rPr>
      </w:pPr>
      <w:r w:rsidRPr="00DE5D3C">
        <w:rPr>
          <w:b/>
          <w:i/>
          <w:lang w:val="el-GR"/>
        </w:rPr>
        <w:t>γ)  Άλλα στοιχεία, κατά περίπτωση.</w:t>
      </w:r>
    </w:p>
    <w:p w14:paraId="74E89E0B" w14:textId="408B0D7E" w:rsidR="001C18AE" w:rsidRPr="0081076F" w:rsidRDefault="001C18AE" w:rsidP="001C18AE">
      <w:pPr>
        <w:spacing w:after="0" w:line="240" w:lineRule="auto"/>
        <w:rPr>
          <w:lang w:val="el-GR"/>
        </w:rPr>
      </w:pPr>
      <w:r>
        <w:rPr>
          <w:lang w:val="el-GR"/>
        </w:rPr>
        <w:t>Δεν εφαρμόζεται.</w:t>
      </w:r>
    </w:p>
    <w:p w14:paraId="1182BFAF" w14:textId="77777777" w:rsidR="001C18AE" w:rsidRPr="00DE5D3C" w:rsidRDefault="001C18AE" w:rsidP="0081076F">
      <w:pPr>
        <w:rPr>
          <w:b/>
          <w:i/>
          <w:lang w:val="el-GR"/>
        </w:rPr>
      </w:pPr>
    </w:p>
    <w:p w14:paraId="0008A717" w14:textId="77777777" w:rsidR="00CD5EEF" w:rsidRDefault="00CD5EEF" w:rsidP="0081076F">
      <w:pPr>
        <w:rPr>
          <w:lang w:val="el-GR"/>
        </w:rPr>
      </w:pPr>
      <w:r>
        <w:rPr>
          <w:lang w:val="el-GR"/>
        </w:rPr>
        <w:br w:type="page"/>
      </w:r>
    </w:p>
    <w:p w14:paraId="66FECDFB" w14:textId="77777777" w:rsidR="001073E0" w:rsidRDefault="001073E0" w:rsidP="001073E0">
      <w:pPr>
        <w:pStyle w:val="Heading1"/>
        <w:numPr>
          <w:ilvl w:val="0"/>
          <w:numId w:val="0"/>
        </w:numPr>
        <w:rPr>
          <w:rFonts w:ascii="Calibri" w:hAnsi="Calibri" w:cs="Calibri"/>
          <w:smallCaps w:val="0"/>
          <w:u w:val="single"/>
          <w:lang w:val="el-GR"/>
        </w:rPr>
      </w:pPr>
      <w:bookmarkStart w:id="43" w:name="_Toc483572198"/>
      <w:r>
        <w:rPr>
          <w:rFonts w:ascii="Calibri" w:hAnsi="Calibri" w:cs="Calibri"/>
          <w:smallCaps w:val="0"/>
          <w:u w:val="single"/>
          <w:lang w:val="el-GR"/>
        </w:rPr>
        <w:lastRenderedPageBreak/>
        <w:t>ΜΕΡΟΣ ΙΙ:</w:t>
      </w:r>
      <w:r w:rsidRPr="001073E0">
        <w:rPr>
          <w:rFonts w:ascii="Calibri" w:hAnsi="Calibri" w:cs="Calibri"/>
          <w:smallCaps w:val="0"/>
          <w:lang w:val="el-GR"/>
        </w:rPr>
        <w:t xml:space="preserve"> </w:t>
      </w:r>
      <w:r w:rsidRPr="001073E0">
        <w:rPr>
          <w:rFonts w:ascii="Calibri" w:hAnsi="Calibri" w:cs="Calibri"/>
          <w:caps/>
          <w:smallCaps w:val="0"/>
          <w:lang w:val="el-GR"/>
        </w:rPr>
        <w:t>Πληροφορίες και αξιολόγηση σχετικά με την Πρωτοβουλία για την Απασχόληση των Νέων</w:t>
      </w:r>
      <w:r>
        <w:rPr>
          <w:rStyle w:val="FootnoteReference"/>
          <w:rFonts w:ascii="Calibri" w:hAnsi="Calibri" w:cs="Calibri"/>
          <w:caps/>
          <w:smallCaps w:val="0"/>
          <w:lang w:val="el-GR"/>
        </w:rPr>
        <w:footnoteReference w:id="20"/>
      </w:r>
      <w:bookmarkEnd w:id="43"/>
    </w:p>
    <w:p w14:paraId="583111F7" w14:textId="77777777" w:rsidR="001073E0" w:rsidRPr="0040101F" w:rsidRDefault="008230FA" w:rsidP="001C18AE">
      <w:pPr>
        <w:pStyle w:val="Heading1"/>
        <w:numPr>
          <w:ilvl w:val="0"/>
          <w:numId w:val="44"/>
        </w:numPr>
        <w:ind w:left="426"/>
        <w:rPr>
          <w:rFonts w:ascii="Calibri" w:hAnsi="Calibri"/>
          <w:lang w:val="el-GR"/>
        </w:rPr>
      </w:pPr>
      <w:bookmarkStart w:id="44" w:name="_Toc483572199"/>
      <w:r w:rsidRPr="008230FA">
        <w:rPr>
          <w:rFonts w:ascii="Calibri" w:hAnsi="Calibri"/>
          <w:caps/>
          <w:smallCaps w:val="0"/>
          <w:lang w:val="el-GR"/>
        </w:rPr>
        <w:t xml:space="preserve">Υλοποίηση της ΠΑΝ </w:t>
      </w:r>
      <w:r w:rsidR="001073E0" w:rsidRPr="0040101F">
        <w:rPr>
          <w:rStyle w:val="FootnoteReference"/>
          <w:rFonts w:ascii="Calibri" w:hAnsi="Calibri"/>
          <w:bCs w:val="0"/>
          <w:caps/>
          <w:smallCaps w:val="0"/>
          <w:lang w:val="el-GR"/>
        </w:rPr>
        <w:footnoteReference w:id="21"/>
      </w:r>
      <w:bookmarkEnd w:id="44"/>
    </w:p>
    <w:p w14:paraId="6D8B1AE7" w14:textId="77777777" w:rsidR="008230FA" w:rsidRPr="00DE5D3C" w:rsidRDefault="008230FA" w:rsidP="001C18AE">
      <w:pPr>
        <w:spacing w:line="240" w:lineRule="auto"/>
        <w:jc w:val="both"/>
        <w:rPr>
          <w:b/>
          <w:i/>
          <w:lang w:val="el-GR"/>
        </w:rPr>
      </w:pPr>
      <w:r w:rsidRPr="00DE5D3C">
        <w:rPr>
          <w:b/>
          <w:i/>
          <w:lang w:val="el-GR"/>
        </w:rPr>
        <w:t>α) Γενική περιγραφή της υλοποίησης της ΠΑΝ, συμπεριλαμβανομένου του τρόπου με τον οποίο η ΠΑΝ έχει συμβάλει στην εφαρμογή της Εγγύησης για τη Νεολαία και παράθεση συγκεκριμένων παραδειγμάτων παρεμβάσεων που λαμβάνουν στήριξη στο πλαίσιο της ΠΑΝ.</w:t>
      </w:r>
    </w:p>
    <w:p w14:paraId="0C93F885" w14:textId="77777777" w:rsidR="00CD5EEF" w:rsidRDefault="00CD5EEF" w:rsidP="001C18AE">
      <w:pPr>
        <w:jc w:val="both"/>
        <w:rPr>
          <w:rFonts w:eastAsia="TimesNewRomanPSMT" w:cs="Calibri"/>
          <w:lang w:val="el-GR"/>
        </w:rPr>
      </w:pPr>
      <w:r w:rsidRPr="00C16BB2">
        <w:rPr>
          <w:rFonts w:cs="Calibri"/>
          <w:color w:val="000000"/>
          <w:lang w:val="el-GR"/>
        </w:rPr>
        <w:t xml:space="preserve">Η Κυπριακή Δημοκρατία </w:t>
      </w:r>
      <w:r>
        <w:rPr>
          <w:rFonts w:cs="Calibri"/>
          <w:color w:val="000000"/>
          <w:lang w:val="el-GR"/>
        </w:rPr>
        <w:t>έχει κριθεί</w:t>
      </w:r>
      <w:r w:rsidRPr="00C16BB2">
        <w:rPr>
          <w:rFonts w:cs="Calibri"/>
          <w:color w:val="000000"/>
          <w:lang w:val="el-GR"/>
        </w:rPr>
        <w:t xml:space="preserve"> ως επιλέξιμη περιφέρεια για χρηματοδότηση στα πλαίσια της Πρωτοβουλί</w:t>
      </w:r>
      <w:r>
        <w:rPr>
          <w:rFonts w:cs="Calibri"/>
          <w:color w:val="000000"/>
          <w:lang w:val="el-GR"/>
        </w:rPr>
        <w:t>ας για την Απασχόληση των Νέων (ΠΑΝ)</w:t>
      </w:r>
      <w:r w:rsidRPr="009117D4">
        <w:rPr>
          <w:rFonts w:cs="Calibri"/>
          <w:color w:val="000000"/>
          <w:lang w:val="el-GR"/>
        </w:rPr>
        <w:t xml:space="preserve"> </w:t>
      </w:r>
      <w:r w:rsidRPr="00C16BB2">
        <w:rPr>
          <w:rFonts w:cs="Calibri"/>
          <w:color w:val="000000"/>
          <w:lang w:val="el-GR"/>
        </w:rPr>
        <w:t>της ΕΕ.</w:t>
      </w:r>
      <w:r>
        <w:rPr>
          <w:rFonts w:cs="Calibri"/>
          <w:color w:val="000000"/>
          <w:lang w:val="el-GR"/>
        </w:rPr>
        <w:t xml:space="preserve"> </w:t>
      </w:r>
      <w:r w:rsidRPr="00F3466E">
        <w:rPr>
          <w:rFonts w:cs="Calibri"/>
          <w:color w:val="000000"/>
          <w:lang w:val="el-GR"/>
        </w:rPr>
        <w:t xml:space="preserve">Οι πόροι που κατανεμήθηκαν στην Κύπρο από την </w:t>
      </w:r>
      <w:r>
        <w:rPr>
          <w:rFonts w:cs="Calibri"/>
          <w:color w:val="000000"/>
          <w:lang w:val="el-GR"/>
        </w:rPr>
        <w:t xml:space="preserve"> ΠΑΝ για την περίοδο 2014-2016 </w:t>
      </w:r>
      <w:r w:rsidRPr="00F3466E">
        <w:rPr>
          <w:rFonts w:cs="Calibri"/>
          <w:color w:val="000000"/>
          <w:lang w:val="el-GR"/>
        </w:rPr>
        <w:t>ανέρχονται σε €11.6εκ., με την αντίστοιχη στήριξη από το ΕΚΤ</w:t>
      </w:r>
      <w:r>
        <w:rPr>
          <w:rFonts w:cs="Calibri"/>
          <w:color w:val="000000"/>
          <w:lang w:val="el-GR"/>
        </w:rPr>
        <w:t xml:space="preserve"> και την εθνική συμμετοχή</w:t>
      </w:r>
      <w:r w:rsidRPr="00F3466E">
        <w:rPr>
          <w:rFonts w:cs="Calibri"/>
          <w:color w:val="000000"/>
          <w:lang w:val="el-GR"/>
        </w:rPr>
        <w:t xml:space="preserve">. Συνολικά, για τις παρεμβάσεις της ΠΑΝ </w:t>
      </w:r>
      <w:r>
        <w:rPr>
          <w:rFonts w:cs="Calibri"/>
          <w:color w:val="000000"/>
          <w:lang w:val="el-GR"/>
        </w:rPr>
        <w:t>θα αξιοποιηθούν €25.2εκ., με τη</w:t>
      </w:r>
      <w:r w:rsidRPr="00F3466E">
        <w:rPr>
          <w:rFonts w:cs="Calibri"/>
          <w:color w:val="000000"/>
          <w:lang w:val="el-GR"/>
        </w:rPr>
        <w:t xml:space="preserve"> στήριξη της Ένωσης να φθάνει το 92% (ή €23.2εκ.). </w:t>
      </w:r>
      <w:r>
        <w:rPr>
          <w:rFonts w:eastAsia="TimesNewRomanPSMT" w:cs="Calibri"/>
          <w:lang w:val="el-GR"/>
        </w:rPr>
        <w:t>Σ</w:t>
      </w:r>
      <w:r w:rsidRPr="00F3466E">
        <w:rPr>
          <w:rFonts w:eastAsia="TimesNewRomanPSMT" w:cs="Calibri"/>
          <w:lang w:val="el-GR"/>
        </w:rPr>
        <w:t>το πλαίσιο της Ενδιάμεσης Αναθεώρησης του Πο</w:t>
      </w:r>
      <w:r>
        <w:rPr>
          <w:rFonts w:eastAsia="TimesNewRomanPSMT" w:cs="Calibri"/>
          <w:lang w:val="el-GR"/>
        </w:rPr>
        <w:t>λυετούς Δημοσιονομικού Πλαισίου</w:t>
      </w:r>
      <w:r w:rsidRPr="00F3466E">
        <w:rPr>
          <w:rFonts w:eastAsia="TimesNewRomanPSMT" w:cs="Calibri"/>
          <w:lang w:val="el-GR"/>
        </w:rPr>
        <w:t xml:space="preserve"> η Κύπρος </w:t>
      </w:r>
      <w:r>
        <w:rPr>
          <w:rFonts w:eastAsia="TimesNewRomanPSMT" w:cs="Calibri"/>
          <w:lang w:val="el-GR"/>
        </w:rPr>
        <w:t>πρόκειται ν</w:t>
      </w:r>
      <w:r w:rsidRPr="00F3466E">
        <w:rPr>
          <w:rFonts w:eastAsia="TimesNewRomanPSMT" w:cs="Calibri"/>
          <w:lang w:val="el-GR"/>
        </w:rPr>
        <w:t xml:space="preserve">α ενισχυθεί με πρόσθετους πόρους από την ΠΑΝ για την περίοδο 2017-2020. Στην περίπτωση αυτή θα εξασφαλιστεί η ισόποση στήριξη από το ΕΚΤ στην ΠΑΝ και η ανάλογη εθνική συνεισφορά. </w:t>
      </w:r>
    </w:p>
    <w:p w14:paraId="7778CCA7" w14:textId="77777777" w:rsidR="00CD5EEF" w:rsidRDefault="00CD5EEF" w:rsidP="001C18AE">
      <w:pPr>
        <w:jc w:val="both"/>
        <w:rPr>
          <w:rFonts w:cs="Calibri"/>
          <w:color w:val="000000"/>
          <w:lang w:val="el-GR"/>
        </w:rPr>
      </w:pPr>
      <w:r w:rsidRPr="00F3466E">
        <w:rPr>
          <w:rFonts w:cs="Calibri"/>
          <w:color w:val="000000"/>
          <w:lang w:val="el-GR"/>
        </w:rPr>
        <w:t xml:space="preserve">Για την υλοποίηση της ΠΑΝ </w:t>
      </w:r>
      <w:r>
        <w:rPr>
          <w:rFonts w:cs="Calibri"/>
          <w:color w:val="000000"/>
          <w:lang w:val="el-GR"/>
        </w:rPr>
        <w:t>εγκρίθηκε το Δεκέμβριο του 2014 το</w:t>
      </w:r>
      <w:r w:rsidRPr="00F3466E">
        <w:rPr>
          <w:rFonts w:cs="Calibri"/>
          <w:color w:val="000000"/>
          <w:lang w:val="el-GR"/>
        </w:rPr>
        <w:t xml:space="preserve"> </w:t>
      </w:r>
      <w:r w:rsidRPr="00747DE3">
        <w:rPr>
          <w:rFonts w:cs="Calibri"/>
          <w:b/>
          <w:color w:val="000000"/>
          <w:lang w:val="el-GR"/>
        </w:rPr>
        <w:t>«Εθνικό Σχέδιο Δράσης για την Απασχόληση των Νέων - ΕΣΔΑΝ»</w:t>
      </w:r>
      <w:r w:rsidRPr="00F3466E">
        <w:rPr>
          <w:rFonts w:cs="Calibri"/>
          <w:color w:val="000000"/>
          <w:lang w:val="el-GR"/>
        </w:rPr>
        <w:t>, το οπο</w:t>
      </w:r>
      <w:r>
        <w:rPr>
          <w:rFonts w:cs="Calibri"/>
          <w:color w:val="000000"/>
          <w:lang w:val="el-GR"/>
        </w:rPr>
        <w:t>ίο έχει ως ομάδα στόχο</w:t>
      </w:r>
      <w:r w:rsidRPr="00F3466E">
        <w:rPr>
          <w:rFonts w:cs="Calibri"/>
          <w:color w:val="000000"/>
          <w:lang w:val="el-GR"/>
        </w:rPr>
        <w:t xml:space="preserve"> </w:t>
      </w:r>
      <w:r w:rsidRPr="00F3466E">
        <w:rPr>
          <w:rFonts w:cs="Calibri"/>
          <w:b/>
          <w:color w:val="000000"/>
          <w:lang w:val="el-GR"/>
        </w:rPr>
        <w:t>τους νέους ηλικίας 15-29 ετών που βρίσκονται εκτός εργασίας, εκπαίδευσης ή κατάρτισης</w:t>
      </w:r>
      <w:r w:rsidRPr="00F3466E">
        <w:rPr>
          <w:rFonts w:cs="Calibri"/>
          <w:color w:val="000000"/>
          <w:lang w:val="el-GR"/>
        </w:rPr>
        <w:t xml:space="preserve">. </w:t>
      </w:r>
      <w:r>
        <w:rPr>
          <w:rFonts w:cs="Calibri"/>
          <w:color w:val="000000"/>
          <w:lang w:val="el-GR"/>
        </w:rPr>
        <w:t xml:space="preserve">Πρόκειται για ένα </w:t>
      </w:r>
      <w:r w:rsidRPr="003B3510">
        <w:rPr>
          <w:rFonts w:eastAsia="TimesNewRomanPSMT" w:cs="Calibri"/>
          <w:lang w:val="el-GR"/>
        </w:rPr>
        <w:t>στρατηγικό πλαίσιο πολιτικής που συνδυάζει βραχυπρόθεσμες και μεσοπρόθεσμες δράσεις</w:t>
      </w:r>
      <w:r>
        <w:rPr>
          <w:rFonts w:eastAsia="TimesNewRomanPSMT" w:cs="Calibri"/>
          <w:lang w:val="el-GR"/>
        </w:rPr>
        <w:t>,</w:t>
      </w:r>
      <w:r w:rsidRPr="003B3510">
        <w:rPr>
          <w:rFonts w:eastAsia="TimesNewRomanPSMT" w:cs="Calibri"/>
          <w:lang w:val="el-GR"/>
        </w:rPr>
        <w:t xml:space="preserve"> με στόχο την αύξηση της απασχόλησης των νέων (15‐29) και την καταπολέμηση της ανεργίας της </w:t>
      </w:r>
      <w:r>
        <w:rPr>
          <w:rFonts w:eastAsia="TimesNewRomanPSMT" w:cs="Calibri"/>
          <w:lang w:val="el-GR"/>
        </w:rPr>
        <w:t>συγκεκριμένης</w:t>
      </w:r>
      <w:r w:rsidRPr="003B3510">
        <w:rPr>
          <w:rFonts w:eastAsia="TimesNewRomanPSMT" w:cs="Calibri"/>
          <w:lang w:val="el-GR"/>
        </w:rPr>
        <w:t xml:space="preserve"> ηλικιακής Ομάδας Στόχου</w:t>
      </w:r>
      <w:r>
        <w:rPr>
          <w:rFonts w:eastAsia="TimesNewRomanPSMT" w:cs="Calibri"/>
          <w:lang w:val="el-GR"/>
        </w:rPr>
        <w:t>.</w:t>
      </w:r>
      <w:r>
        <w:rPr>
          <w:rFonts w:cs="Calibri"/>
          <w:color w:val="000000"/>
          <w:lang w:val="el-GR"/>
        </w:rPr>
        <w:t xml:space="preserve"> </w:t>
      </w:r>
      <w:r w:rsidRPr="00F3466E">
        <w:rPr>
          <w:rFonts w:cs="Calibri"/>
          <w:color w:val="000000"/>
          <w:lang w:val="el-GR"/>
        </w:rPr>
        <w:t xml:space="preserve">Το ΕΣΔΑΝ περιλαμβάνει, μεταξύ άλλων, το </w:t>
      </w:r>
      <w:r w:rsidRPr="009A03FD">
        <w:rPr>
          <w:rFonts w:cs="Calibri"/>
          <w:b/>
          <w:color w:val="000000"/>
          <w:lang w:val="el-GR"/>
        </w:rPr>
        <w:t>Αναθεωρημένο Σχέδιο Δράσης για την Εφαρμογή της Σύστασης «Εγγύηση για τη Νεολαία»,</w:t>
      </w:r>
      <w:r w:rsidRPr="00F3466E">
        <w:rPr>
          <w:rFonts w:cs="Calibri"/>
          <w:color w:val="000000"/>
          <w:lang w:val="el-GR"/>
        </w:rPr>
        <w:t xml:space="preserve"> σύμφωνα με την οποία για κάθε νέο ηλικίας 15-24 ετών θα πρέπει να προσφέρεται μια ευκαιρία απασχόλησης, εκπαίδευσης ή κατάρτισης εντός 4 μηνών από την ημέρα που παραμένει άνεργος ή που ολοκληρώνει / διακόπτει την εκπαίδευσή του. </w:t>
      </w:r>
      <w:r>
        <w:rPr>
          <w:rFonts w:cs="Calibri"/>
          <w:color w:val="000000"/>
          <w:lang w:val="el-GR"/>
        </w:rPr>
        <w:t xml:space="preserve">Σύμφωνα με απόφαση του Υπουργικού Συμβουλίου, και λόγω της ιδιαιτερότητας των χαρακτηριστικών των νέων στην Κύπρο, το επιλέξιμο ηλιακό όριο για την «Εγγύηση για τη Νεολαία» διευρύνεται για να καλύπτει τα </w:t>
      </w:r>
      <w:r w:rsidRPr="00747DE3">
        <w:rPr>
          <w:rFonts w:cs="Calibri"/>
          <w:b/>
          <w:color w:val="000000"/>
          <w:lang w:val="el-GR"/>
        </w:rPr>
        <w:t>15-29 έτη</w:t>
      </w:r>
      <w:r>
        <w:rPr>
          <w:rFonts w:cs="Calibri"/>
          <w:color w:val="000000"/>
          <w:lang w:val="el-GR"/>
        </w:rPr>
        <w:t xml:space="preserve">. </w:t>
      </w:r>
    </w:p>
    <w:p w14:paraId="7C86321E" w14:textId="7B0B6947" w:rsidR="00CD5EEF" w:rsidRPr="000A2AF4" w:rsidRDefault="00CD5EEF" w:rsidP="001C18AE">
      <w:pPr>
        <w:jc w:val="both"/>
        <w:rPr>
          <w:rFonts w:eastAsia="TimesNewRomanPSMT" w:cs="Calibri"/>
          <w:lang w:val="el-GR"/>
        </w:rPr>
      </w:pPr>
      <w:r w:rsidRPr="005D7381">
        <w:rPr>
          <w:rFonts w:cs="Calibri"/>
          <w:color w:val="000000"/>
          <w:lang w:val="el-GR"/>
        </w:rPr>
        <w:t xml:space="preserve">Οι </w:t>
      </w:r>
      <w:r w:rsidR="000E1659">
        <w:rPr>
          <w:rFonts w:cs="Calibri"/>
          <w:color w:val="000000"/>
          <w:lang w:val="el-GR"/>
        </w:rPr>
        <w:t>παρεμβάσεις που αρχικά σχεδιάσθη</w:t>
      </w:r>
      <w:r w:rsidRPr="005D7381">
        <w:rPr>
          <w:rFonts w:cs="Calibri"/>
          <w:color w:val="000000"/>
          <w:lang w:val="el-GR"/>
        </w:rPr>
        <w:t>καν να υλοποιηθούν με συγχρηματοδότηση από την ΠΑΝ και την αντίστοιχη στήριξη από το ΕΚΤ, περιλαμβάνουν υποστήριξη των παρεχομένων υπηρεσιών συμβουλευτικής και επαγγελματικής αγωγής για ΝΕΕΤ</w:t>
      </w:r>
      <w:r w:rsidRPr="005D7381">
        <w:rPr>
          <w:rFonts w:cs="Calibri"/>
          <w:color w:val="000000"/>
        </w:rPr>
        <w:t>s</w:t>
      </w:r>
      <w:r w:rsidRPr="005D7381">
        <w:rPr>
          <w:rFonts w:cs="Calibri"/>
          <w:color w:val="000000"/>
          <w:lang w:val="el-GR"/>
        </w:rPr>
        <w:t xml:space="preserve">, </w:t>
      </w:r>
      <w:r w:rsidRPr="005D7381">
        <w:rPr>
          <w:rFonts w:cs="Calibri"/>
          <w:lang w:val="el-GR"/>
        </w:rPr>
        <w:t xml:space="preserve">τοποθέτηση νέων (15-24 ετών) εκτός αγοράς εργασίας, εκπαίδευσης και κατάρτισης, αποφοίτων δευτεροβάθμιας εκπαίδευσης σε επιχειρήσεις για απόκτηση εργασιακής εμπειρίας, παροχή κινήτρων σε επιχειρήσεις του ιδιωτικού τομέα για πρόσληψη νέων σε επιδοτούμενες θέσεις απασχόλησης, προγράμματα κατάρτισης νέων, υπηρεσίες συμβουλευτικής, και δράσεις/ εκδηλώσεις ενημέρωσης των νέων και όλων των ενδιαφερομένων μερών για την ΠΑΝ και το ΕΣΔΑΝ. </w:t>
      </w:r>
    </w:p>
    <w:p w14:paraId="433DA461" w14:textId="77777777" w:rsidR="00CD5EEF" w:rsidRDefault="00CD5EEF" w:rsidP="001C18AE">
      <w:pPr>
        <w:jc w:val="both"/>
        <w:rPr>
          <w:rFonts w:cs="Calibri"/>
          <w:lang w:val="el-GR"/>
        </w:rPr>
      </w:pPr>
      <w:r w:rsidRPr="00F3466E">
        <w:rPr>
          <w:rFonts w:eastAsia="TimesNewRomanPSMT" w:cs="Calibri"/>
          <w:lang w:val="el-GR"/>
        </w:rPr>
        <w:t xml:space="preserve">Παρά το γεγονός ότι οι διαδικασίες ένταξης έργων στο Ε.Π. «Απασχόληση, Ανθρώπινοι Πόροι και Κοινωνική Συνοχή» δεν είχαν ολοκληρωθεί κατά την έναρξη της επιλέξιμης περιόδου της ΠΑΝ, άρχισε να </w:t>
      </w:r>
      <w:r w:rsidRPr="00F3466E">
        <w:rPr>
          <w:rFonts w:eastAsia="TimesNewRomanPSMT" w:cs="Calibri"/>
          <w:lang w:val="el-GR"/>
        </w:rPr>
        <w:lastRenderedPageBreak/>
        <w:t>υλοποιείται από εθνικούς πόρους, μετά από έγκριση της Διαχειριστικής Αρχής,</w:t>
      </w:r>
      <w:r w:rsidRPr="00F3466E">
        <w:rPr>
          <w:rFonts w:cs="Calibri"/>
          <w:lang w:val="el-GR"/>
        </w:rPr>
        <w:t xml:space="preserve"> </w:t>
      </w:r>
      <w:r>
        <w:rPr>
          <w:rFonts w:cs="Calibri"/>
          <w:lang w:val="el-GR"/>
        </w:rPr>
        <w:t xml:space="preserve">το </w:t>
      </w:r>
      <w:r w:rsidRPr="00835A08">
        <w:rPr>
          <w:rFonts w:cs="Calibri"/>
          <w:b/>
          <w:lang w:val="el-GR"/>
        </w:rPr>
        <w:t>«Σχέδιο Τοποθέτησης Άνεργων Νέων Αποφοίτων Γυμνασίων, Λυκείων, Τεχνικών Σχολών και Μεταλυκειακής Εκπαίδευσης μέχρι</w:t>
      </w:r>
      <w:r>
        <w:rPr>
          <w:rFonts w:cs="Calibri"/>
          <w:b/>
          <w:lang w:val="el-GR"/>
        </w:rPr>
        <w:t xml:space="preserve"> διετούς διάρκειας για απόκτηση</w:t>
      </w:r>
      <w:r w:rsidRPr="00835A08">
        <w:rPr>
          <w:rFonts w:cs="Calibri"/>
          <w:b/>
          <w:lang w:val="el-GR"/>
        </w:rPr>
        <w:t xml:space="preserve"> Εργασιακής Πείρας σε Επιχειρήσεις /Οργανισμούς»</w:t>
      </w:r>
      <w:r w:rsidRPr="00F3466E">
        <w:rPr>
          <w:rFonts w:cs="Calibri"/>
          <w:lang w:val="el-GR"/>
        </w:rPr>
        <w:t xml:space="preserve">. </w:t>
      </w:r>
      <w:r>
        <w:rPr>
          <w:rFonts w:cs="Calibri"/>
          <w:lang w:val="el-GR"/>
        </w:rPr>
        <w:t xml:space="preserve">Το έργο (δημόσια σύμβαση) υλοποιήθηκε σε δυο φάσεις – κύκλους, με τον πρώτο να έχει ολοκληρωθεί το 2015 και το δεύτερο το 2016. </w:t>
      </w:r>
    </w:p>
    <w:p w14:paraId="3028752D" w14:textId="77777777" w:rsidR="00CD5EEF" w:rsidRPr="00C500EE" w:rsidRDefault="00CD5EEF" w:rsidP="001C18AE">
      <w:pPr>
        <w:jc w:val="both"/>
        <w:rPr>
          <w:rFonts w:cs="Calibri"/>
          <w:lang w:val="el-GR"/>
        </w:rPr>
      </w:pPr>
      <w:r>
        <w:rPr>
          <w:rFonts w:cs="Calibri"/>
          <w:lang w:val="el-GR"/>
        </w:rPr>
        <w:t>Στο πλαίσιο του</w:t>
      </w:r>
      <w:r w:rsidRPr="00DB01C9">
        <w:rPr>
          <w:rFonts w:cs="Calibri"/>
          <w:lang w:val="el-GR"/>
        </w:rPr>
        <w:t xml:space="preserve"> 1</w:t>
      </w:r>
      <w:r>
        <w:rPr>
          <w:rFonts w:cs="Calibri"/>
          <w:vertAlign w:val="superscript"/>
          <w:lang w:val="el-GR"/>
        </w:rPr>
        <w:t>ου</w:t>
      </w:r>
      <w:r>
        <w:rPr>
          <w:rFonts w:cs="Calibri"/>
          <w:lang w:val="el-GR"/>
        </w:rPr>
        <w:t xml:space="preserve"> κύκλου</w:t>
      </w:r>
      <w:r w:rsidRPr="00DB01C9">
        <w:rPr>
          <w:rFonts w:cs="Calibri"/>
          <w:lang w:val="el-GR"/>
        </w:rPr>
        <w:t xml:space="preserve"> (Φεβρουάριος 2014), υποβλήθηκαν συνολικά </w:t>
      </w:r>
      <w:r w:rsidRPr="00DB01C9">
        <w:rPr>
          <w:rFonts w:cs="Calibri"/>
          <w:b/>
          <w:lang w:val="el-GR"/>
        </w:rPr>
        <w:t>2.255</w:t>
      </w:r>
      <w:r w:rsidRPr="00DB01C9">
        <w:rPr>
          <w:rFonts w:cs="Calibri"/>
          <w:lang w:val="el-GR"/>
        </w:rPr>
        <w:t xml:space="preserve"> αιτήσεις από άνεργους νέους για τοποθέτηση σε επιχειρήσεις/οργανισμούς για απόκτηση εργασιακής πείρας. Μετά από σχετική αξιολόγηση των αιτήσεων, οι τοποθετήσεις άρχισαν να πραγματοποιούνται από 1η Ιουλίου 2014. Συνολικά</w:t>
      </w:r>
      <w:r>
        <w:rPr>
          <w:rFonts w:cs="Calibri"/>
          <w:lang w:val="el-GR"/>
        </w:rPr>
        <w:t>,</w:t>
      </w:r>
      <w:r w:rsidRPr="00DB01C9">
        <w:rPr>
          <w:rFonts w:cs="Calibri"/>
          <w:lang w:val="el-GR"/>
        </w:rPr>
        <w:t xml:space="preserve"> μ</w:t>
      </w:r>
      <w:r w:rsidRPr="00DB01C9">
        <w:rPr>
          <w:rFonts w:cs="Calibri"/>
          <w:color w:val="000000"/>
          <w:lang w:val="el-GR"/>
        </w:rPr>
        <w:t xml:space="preserve">έχρι το τέλος του 2015 </w:t>
      </w:r>
      <w:r w:rsidRPr="00DB01C9">
        <w:rPr>
          <w:color w:val="000000"/>
          <w:lang w:val="el-GR"/>
        </w:rPr>
        <w:t xml:space="preserve">επωφελήθηκαν </w:t>
      </w:r>
      <w:r w:rsidRPr="00DB01C9">
        <w:rPr>
          <w:b/>
          <w:color w:val="000000"/>
          <w:lang w:val="el-GR"/>
        </w:rPr>
        <w:t>1.197</w:t>
      </w:r>
      <w:r w:rsidRPr="00DB01C9">
        <w:rPr>
          <w:color w:val="000000"/>
          <w:lang w:val="el-GR"/>
        </w:rPr>
        <w:t xml:space="preserve"> άνεργοι νέοι, εκ των οποίων οι </w:t>
      </w:r>
      <w:r w:rsidRPr="00DB01C9">
        <w:rPr>
          <w:b/>
          <w:color w:val="000000"/>
          <w:lang w:val="el-GR"/>
        </w:rPr>
        <w:t>862</w:t>
      </w:r>
      <w:r w:rsidRPr="00DB01C9">
        <w:rPr>
          <w:color w:val="000000"/>
          <w:lang w:val="el-GR"/>
        </w:rPr>
        <w:t xml:space="preserve"> ολοκλήρωσαν με επιτυχία το πρόγραμμα τοποθέτησής τους.</w:t>
      </w:r>
      <w:r>
        <w:rPr>
          <w:rFonts w:cs="Calibri"/>
          <w:lang w:val="el-GR"/>
        </w:rPr>
        <w:t xml:space="preserve"> </w:t>
      </w:r>
      <w:r w:rsidRPr="00DB01C9">
        <w:rPr>
          <w:rFonts w:cs="Calibri"/>
          <w:lang w:val="el-GR"/>
        </w:rPr>
        <w:t xml:space="preserve">Στο πλαίσιο </w:t>
      </w:r>
      <w:r>
        <w:rPr>
          <w:rFonts w:cs="Calibri"/>
          <w:lang w:val="el-GR"/>
        </w:rPr>
        <w:t>του 2</w:t>
      </w:r>
      <w:r>
        <w:rPr>
          <w:rFonts w:cs="Calibri"/>
          <w:vertAlign w:val="superscript"/>
          <w:lang w:val="el-GR"/>
        </w:rPr>
        <w:t>ου</w:t>
      </w:r>
      <w:r>
        <w:rPr>
          <w:rFonts w:cs="Calibri"/>
          <w:lang w:val="el-GR"/>
        </w:rPr>
        <w:t xml:space="preserve"> κύκλου</w:t>
      </w:r>
      <w:r w:rsidRPr="00DB01C9">
        <w:rPr>
          <w:rFonts w:cs="Calibri"/>
          <w:lang w:val="el-GR"/>
        </w:rPr>
        <w:t xml:space="preserve"> (Ιούνιος 2015), υποβλήθηκαν </w:t>
      </w:r>
      <w:r w:rsidRPr="00DB01C9">
        <w:rPr>
          <w:rFonts w:cs="Calibri"/>
          <w:b/>
          <w:lang w:val="el-GR"/>
        </w:rPr>
        <w:t>1.022</w:t>
      </w:r>
      <w:r w:rsidRPr="00DB01C9">
        <w:rPr>
          <w:rFonts w:cs="Calibri"/>
          <w:lang w:val="el-GR"/>
        </w:rPr>
        <w:t xml:space="preserve"> αιτήσεις από άνεργους νέους για τοποθέτηση σε επιχειρήσεις/οργανισμούς για απόκτηση εργασιακής πείρας. </w:t>
      </w:r>
      <w:r>
        <w:rPr>
          <w:rFonts w:cs="Calibri"/>
          <w:lang w:val="el-GR"/>
        </w:rPr>
        <w:t>Μέρχι το τέλος του 2016 ε</w:t>
      </w:r>
      <w:r w:rsidRPr="00DB01C9">
        <w:rPr>
          <w:color w:val="000000"/>
          <w:lang w:val="el-GR"/>
        </w:rPr>
        <w:t xml:space="preserve">πωφελήθηκαν </w:t>
      </w:r>
      <w:r w:rsidRPr="00DB01C9">
        <w:rPr>
          <w:b/>
          <w:color w:val="000000"/>
          <w:lang w:val="el-GR"/>
        </w:rPr>
        <w:t>577</w:t>
      </w:r>
      <w:r w:rsidRPr="00DB01C9">
        <w:rPr>
          <w:color w:val="000000"/>
          <w:lang w:val="el-GR"/>
        </w:rPr>
        <w:t xml:space="preserve"> άνεργοι νέοι, εκ των οποίων οι </w:t>
      </w:r>
      <w:r w:rsidRPr="00DB01C9">
        <w:rPr>
          <w:b/>
          <w:color w:val="000000"/>
          <w:lang w:val="el-GR"/>
        </w:rPr>
        <w:t>460</w:t>
      </w:r>
      <w:r w:rsidRPr="00DB01C9">
        <w:rPr>
          <w:color w:val="000000"/>
          <w:lang w:val="el-GR"/>
        </w:rPr>
        <w:t xml:space="preserve"> ολοκλήρωσαν με επιτυχία το πρόγραμμα τοποθέτησής τους.</w:t>
      </w:r>
      <w:r>
        <w:rPr>
          <w:rFonts w:cs="Calibri"/>
          <w:lang w:val="el-GR"/>
        </w:rPr>
        <w:t xml:space="preserve"> </w:t>
      </w:r>
      <w:r w:rsidRPr="00DB01C9">
        <w:rPr>
          <w:color w:val="000000"/>
          <w:lang w:val="el-GR"/>
        </w:rPr>
        <w:t xml:space="preserve">Συνολικά και για τους κύκλους του έργου μέχρι τις 31/12/2016 επωφελήθηκαν </w:t>
      </w:r>
      <w:r w:rsidRPr="00DB01C9">
        <w:rPr>
          <w:b/>
          <w:bCs/>
          <w:color w:val="000000"/>
          <w:lang w:val="el-GR"/>
        </w:rPr>
        <w:t xml:space="preserve">1.774 </w:t>
      </w:r>
      <w:r w:rsidRPr="00DB01C9">
        <w:rPr>
          <w:color w:val="000000"/>
          <w:lang w:val="el-GR"/>
        </w:rPr>
        <w:t>άνεργοι νέοι</w:t>
      </w:r>
      <w:r>
        <w:rPr>
          <w:color w:val="000000"/>
          <w:lang w:val="el-GR"/>
        </w:rPr>
        <w:t>,</w:t>
      </w:r>
      <w:r w:rsidRPr="00DB01C9">
        <w:rPr>
          <w:color w:val="000000"/>
          <w:lang w:val="el-GR"/>
        </w:rPr>
        <w:t xml:space="preserve"> εκ των οποίων οι </w:t>
      </w:r>
      <w:r w:rsidRPr="00DB01C9">
        <w:rPr>
          <w:b/>
          <w:bCs/>
          <w:color w:val="000000"/>
          <w:lang w:val="el-GR"/>
        </w:rPr>
        <w:t>1.322</w:t>
      </w:r>
      <w:r w:rsidRPr="00DB01C9">
        <w:rPr>
          <w:color w:val="000000"/>
          <w:lang w:val="el-GR"/>
        </w:rPr>
        <w:t xml:space="preserve"> ολοκλήρωσαν με επιτυχία το πρόγραμμα τοποθέτησής τους.</w:t>
      </w:r>
    </w:p>
    <w:p w14:paraId="535FD2AD" w14:textId="77777777" w:rsidR="00CD5EEF" w:rsidRPr="000C65DA" w:rsidRDefault="00CD5EEF" w:rsidP="001C18AE">
      <w:pPr>
        <w:jc w:val="both"/>
        <w:rPr>
          <w:rFonts w:cs="Calibri"/>
          <w:iCs/>
          <w:lang w:val="el-GR"/>
        </w:rPr>
      </w:pPr>
      <w:r>
        <w:rPr>
          <w:rFonts w:cs="Calibri"/>
          <w:iCs/>
          <w:lang w:val="el-GR"/>
        </w:rPr>
        <w:t>Το Νοέμβριο του 2016</w:t>
      </w:r>
      <w:r w:rsidRPr="00F3466E">
        <w:rPr>
          <w:rFonts w:cs="Calibri"/>
          <w:iCs/>
          <w:lang w:val="el-GR"/>
        </w:rPr>
        <w:t xml:space="preserve"> προκηρύχθηκε </w:t>
      </w:r>
      <w:r>
        <w:rPr>
          <w:rFonts w:cs="Calibri"/>
          <w:iCs/>
          <w:lang w:val="el-GR"/>
        </w:rPr>
        <w:t xml:space="preserve">από το Τμήμα Εργασίας το </w:t>
      </w:r>
      <w:r w:rsidRPr="005202CF">
        <w:rPr>
          <w:rFonts w:cs="Calibri"/>
          <w:b/>
          <w:iCs/>
          <w:lang w:val="el-GR"/>
        </w:rPr>
        <w:t>«</w:t>
      </w:r>
      <w:r w:rsidRPr="005202CF">
        <w:rPr>
          <w:rFonts w:cs="Calibri"/>
          <w:b/>
          <w:lang w:val="el-GR"/>
        </w:rPr>
        <w:t>Σχέδιο Παροχής Κινήτρων για την εργοδότηση άνεργων νέων μέχρι 25 ετών-1η Πρόσκληση»</w:t>
      </w:r>
      <w:r>
        <w:rPr>
          <w:rFonts w:cs="Calibri"/>
          <w:b/>
          <w:lang w:val="el-GR"/>
        </w:rPr>
        <w:t xml:space="preserve"> </w:t>
      </w:r>
      <w:r w:rsidRPr="0036092B">
        <w:rPr>
          <w:rFonts w:cs="Calibri"/>
          <w:lang w:val="el-GR"/>
        </w:rPr>
        <w:t>(</w:t>
      </w:r>
      <w:r w:rsidRPr="0036092B">
        <w:rPr>
          <w:rFonts w:cs="Calibri"/>
          <w:iCs/>
          <w:lang w:val="el-GR"/>
        </w:rPr>
        <w:t>Σχέδιο</w:t>
      </w:r>
      <w:r>
        <w:rPr>
          <w:rFonts w:cs="Calibri"/>
          <w:iCs/>
          <w:lang w:val="el-GR"/>
        </w:rPr>
        <w:t xml:space="preserve"> Χορηγιών) </w:t>
      </w:r>
      <w:r w:rsidRPr="009F1A7A">
        <w:rPr>
          <w:rFonts w:cs="Calibri"/>
          <w:lang w:val="el-GR"/>
        </w:rPr>
        <w:t>με δικαιούχους τις ε</w:t>
      </w:r>
      <w:r>
        <w:rPr>
          <w:rFonts w:cs="Calibri"/>
          <w:lang w:val="el-GR"/>
        </w:rPr>
        <w:t>πιχειρήσεις του ιδιωτικού τομέα και π/υ €4,0 εκατ.</w:t>
      </w:r>
      <w:r w:rsidRPr="000C65DA">
        <w:rPr>
          <w:rFonts w:cs="Calibri"/>
          <w:lang w:val="el-GR"/>
        </w:rPr>
        <w:t xml:space="preserve">, </w:t>
      </w:r>
      <w:r>
        <w:rPr>
          <w:rFonts w:cs="Calibri"/>
          <w:lang w:val="el-GR"/>
        </w:rPr>
        <w:t>ενώ ακολούθησε και 2</w:t>
      </w:r>
      <w:r w:rsidRPr="000C65DA">
        <w:rPr>
          <w:rFonts w:cs="Calibri"/>
          <w:vertAlign w:val="superscript"/>
          <w:lang w:val="el-GR"/>
        </w:rPr>
        <w:t>η</w:t>
      </w:r>
      <w:r>
        <w:rPr>
          <w:rFonts w:cs="Calibri"/>
          <w:lang w:val="el-GR"/>
        </w:rPr>
        <w:t xml:space="preserve"> Πρόσκληση, τον Απρίλιο του 2017 με π/υ €1,5 εκατ.</w:t>
      </w:r>
      <w:r>
        <w:rPr>
          <w:rFonts w:cs="Calibri"/>
          <w:b/>
          <w:lang w:val="el-GR"/>
        </w:rPr>
        <w:t xml:space="preserve"> </w:t>
      </w:r>
    </w:p>
    <w:p w14:paraId="1E2222F9" w14:textId="77777777" w:rsidR="008230FA" w:rsidRPr="008230FA" w:rsidRDefault="008230FA" w:rsidP="001C18AE">
      <w:pPr>
        <w:spacing w:after="0" w:line="240" w:lineRule="auto"/>
        <w:jc w:val="both"/>
        <w:rPr>
          <w:lang w:val="el-GR"/>
        </w:rPr>
      </w:pPr>
    </w:p>
    <w:p w14:paraId="1EA4620E" w14:textId="77777777" w:rsidR="008230FA" w:rsidRPr="00DE5D3C" w:rsidRDefault="008230FA" w:rsidP="00752536">
      <w:pPr>
        <w:jc w:val="both"/>
        <w:rPr>
          <w:b/>
          <w:i/>
          <w:lang w:val="el-GR"/>
        </w:rPr>
      </w:pPr>
      <w:r w:rsidRPr="00DE5D3C">
        <w:rPr>
          <w:b/>
          <w:i/>
          <w:lang w:val="el-GR"/>
        </w:rPr>
        <w:t>β) Περιγραφή τυχόν προβλημάτων που προέκυψαν κατά την υλοποίηση της ΠΑΝ και των μέτρων που λήφθηκαν για την αντιμετώπισή τους.</w:t>
      </w:r>
    </w:p>
    <w:p w14:paraId="23528463" w14:textId="77777777" w:rsidR="00CD5EEF" w:rsidRPr="000B388A" w:rsidRDefault="00CD5EEF" w:rsidP="001C18AE">
      <w:pPr>
        <w:jc w:val="both"/>
        <w:rPr>
          <w:lang w:val="el-GR"/>
        </w:rPr>
      </w:pPr>
      <w:r>
        <w:rPr>
          <w:lang w:val="el-GR"/>
        </w:rPr>
        <w:t xml:space="preserve">Οι αναπτυξιακές ανάγκες που σχετίζονται με τον τομέα της αγοράς εργασίας και ειδικότερα με την απασχόληση των νέων, εκτιμάται ότι θα αντιμετωπιστούν με σειρά μέτρων που έχουν προγραμματιστεί στο πλαίσιο του Σχεδίου Δράσης </w:t>
      </w:r>
      <w:r w:rsidRPr="00D07976">
        <w:rPr>
          <w:lang w:val="el-GR"/>
        </w:rPr>
        <w:t xml:space="preserve">για την Εφαρμογή της Σύστασης «Εγγύηση για τη Νεολαία» και του </w:t>
      </w:r>
      <w:r>
        <w:rPr>
          <w:lang w:val="el-GR"/>
        </w:rPr>
        <w:t>«Εθνικού Σχε</w:t>
      </w:r>
      <w:r w:rsidRPr="00D07976">
        <w:rPr>
          <w:lang w:val="el-GR"/>
        </w:rPr>
        <w:t>δίο</w:t>
      </w:r>
      <w:r>
        <w:rPr>
          <w:lang w:val="el-GR"/>
        </w:rPr>
        <w:t>υ</w:t>
      </w:r>
      <w:r w:rsidRPr="00D07976">
        <w:rPr>
          <w:lang w:val="el-GR"/>
        </w:rPr>
        <w:t xml:space="preserve"> Δράσης για τ</w:t>
      </w:r>
      <w:r>
        <w:rPr>
          <w:lang w:val="el-GR"/>
        </w:rPr>
        <w:t xml:space="preserve">ην Απασχόληση των Νέων - ΕΣΔΑΝ». Τα μέτρα αυτά συνοψίζονται στην ενίσχυση του επαγγελματικού προσανατολισμού και στη διασύνδεση της συμβουλευτικής με τις ανάγκες της αγοράς εργασίας, στην ανάπτυξη και βελτίωση των δεξιοτήτων των νέων, σε τοποθετήσεις σε επιχειρήσεις για απόκτηση εργασιακής πείρας και στην παροχή κινήτρων για την ανάπτυξη επιχειρηματικής δραστηριότητας. </w:t>
      </w:r>
    </w:p>
    <w:p w14:paraId="2E28046C" w14:textId="77777777" w:rsidR="00CD5EEF" w:rsidRDefault="00CD5EEF" w:rsidP="001C18AE">
      <w:pPr>
        <w:jc w:val="both"/>
        <w:rPr>
          <w:lang w:val="el-GR"/>
        </w:rPr>
      </w:pPr>
      <w:r>
        <w:rPr>
          <w:lang w:val="el-GR"/>
        </w:rPr>
        <w:t>Σύμφωνα με τη σχετική Ανακοίνωση της Ευρωπαϊκής Επιτροπής (</w:t>
      </w:r>
      <w:r w:rsidRPr="000B388A">
        <w:rPr>
          <w:lang w:val="el-GR"/>
        </w:rPr>
        <w:t>SWD(2016) 323 final</w:t>
      </w:r>
      <w:r>
        <w:rPr>
          <w:lang w:val="el-GR"/>
        </w:rPr>
        <w:t>) και την Έκθεση της Επιτροπής για την Κύπρο στο πλαίσιο του Ευρωπαϊκού Εξαμήνου 2017 (</w:t>
      </w:r>
      <w:r w:rsidRPr="00E04DC2">
        <w:rPr>
          <w:lang w:val="el-GR"/>
        </w:rPr>
        <w:t>SWD(2017) 78 final</w:t>
      </w:r>
      <w:r>
        <w:rPr>
          <w:lang w:val="el-GR"/>
        </w:rPr>
        <w:t xml:space="preserve">), κατά την πρώτη τριετία υλοποίησης της ΠΑΝ στην Κύπρο, η ανεργία των νέων μειώθηκε, ωστόσο το 2016 εξακολουθούσε να παραμένει σε υψηλά επίπεδα (29,9%) και πάνω από το μέσο όρο της Ε.Ε. (20,1%), παρά τα μέτρα που έχουν ληφθεί για την ενίσχυση της απασχόλησης, τη βελτίωση στο σύστημα επαγγελματικής εκπαίδευσης </w:t>
      </w:r>
      <w:r w:rsidRPr="007D0449">
        <w:rPr>
          <w:lang w:val="el-GR"/>
        </w:rPr>
        <w:t>και την εταιρική σχέση που έχει αναπτυχθεί μεταξύ των εμπλεκόμενων φορέων.</w:t>
      </w:r>
      <w:r>
        <w:rPr>
          <w:lang w:val="el-GR"/>
        </w:rPr>
        <w:t xml:space="preserve"> Επίσης, το ποσοστό των νέων (15-24) που δεν εντάσσονται στην απασχόληση, εκπαίδευση ή κατάρτιση (</w:t>
      </w:r>
      <w:r>
        <w:t>NEETs</w:t>
      </w:r>
      <w:r>
        <w:rPr>
          <w:lang w:val="el-GR"/>
        </w:rPr>
        <w:t>) παρέμενε το 2016 σε υψηλό επίπεδο (15,9%, έναντι 15,3% το 2015), επίσης πάνω από το μέσο όρο της Ε.Ε. (11,5%).</w:t>
      </w:r>
      <w:r w:rsidRPr="00872A26">
        <w:rPr>
          <w:lang w:val="el-GR"/>
        </w:rPr>
        <w:t xml:space="preserve"> </w:t>
      </w:r>
      <w:r>
        <w:rPr>
          <w:lang w:val="el-GR"/>
        </w:rPr>
        <w:t xml:space="preserve">Η προσπάθεια των αρμόδιων φορέων για την καταγραφή και προσέγγιση </w:t>
      </w:r>
      <w:r>
        <w:rPr>
          <w:lang w:val="el-GR"/>
        </w:rPr>
        <w:lastRenderedPageBreak/>
        <w:t xml:space="preserve">των μη </w:t>
      </w:r>
      <w:r w:rsidRPr="00ED3959">
        <w:rPr>
          <w:lang w:val="el-GR"/>
        </w:rPr>
        <w:t>καταγεγραμμένων ανέργων</w:t>
      </w:r>
      <w:r>
        <w:rPr>
          <w:lang w:val="el-GR"/>
        </w:rPr>
        <w:t xml:space="preserve"> νέων  και των </w:t>
      </w:r>
      <w:r>
        <w:t>NEETs</w:t>
      </w:r>
      <w:r w:rsidRPr="00ED3959">
        <w:rPr>
          <w:lang w:val="el-GR"/>
        </w:rPr>
        <w:t xml:space="preserve">, </w:t>
      </w:r>
      <w:r>
        <w:rPr>
          <w:lang w:val="el-GR"/>
        </w:rPr>
        <w:t xml:space="preserve">δεν έχει αποφέρει ακόμα συγκεκριμένα αποτελέσματα. </w:t>
      </w:r>
    </w:p>
    <w:p w14:paraId="05ECCF20" w14:textId="77777777" w:rsidR="00CD5EEF" w:rsidRPr="006C33E0" w:rsidRDefault="00CD5EEF" w:rsidP="001C18AE">
      <w:pPr>
        <w:jc w:val="both"/>
        <w:rPr>
          <w:lang w:val="el-GR"/>
        </w:rPr>
      </w:pPr>
      <w:r>
        <w:rPr>
          <w:lang w:val="el-GR"/>
        </w:rPr>
        <w:t>Οι κύριες προκλήσεις, διαρθρωτικού χαρακτήρα, που εξακολουθούν να υφίστανται και να επηρεάζουν την απασχολησιμότητ</w:t>
      </w:r>
      <w:r w:rsidR="000E1659">
        <w:rPr>
          <w:lang w:val="el-GR"/>
        </w:rPr>
        <w:t>α των νέων συνδέονται κυρίως με</w:t>
      </w:r>
      <w:r>
        <w:rPr>
          <w:lang w:val="el-GR"/>
        </w:rPr>
        <w:t xml:space="preserve"> την ενίσχυση της ικανότητας της Δημόσιας Υπηρεσίας Απασχόλησης (ΔΥΑ), η οποία κατέχει κεντροβαρικό ρόλο στο σχεδιασμό και στην υλοποίηση της ΠΑΝ,  να παρέχει</w:t>
      </w:r>
      <w:r w:rsidRPr="006C33E0">
        <w:rPr>
          <w:lang w:val="el-GR"/>
        </w:rPr>
        <w:t xml:space="preserve"> εξατομικευμένες υπηρεσίες παροχής συμβουλών και </w:t>
      </w:r>
      <w:r>
        <w:rPr>
          <w:lang w:val="el-GR"/>
        </w:rPr>
        <w:t xml:space="preserve">επαγγελματικού προσανατολισμού, την ανάπτυξη μιας πιο ολοκληρωμένης στρατηγικής για την προσέγγιση των μη εγγεγραμμένων </w:t>
      </w:r>
      <w:r>
        <w:t>NEETs</w:t>
      </w:r>
      <w:r w:rsidRPr="006C33E0">
        <w:rPr>
          <w:lang w:val="el-GR"/>
        </w:rPr>
        <w:t xml:space="preserve">, </w:t>
      </w:r>
      <w:r>
        <w:rPr>
          <w:lang w:val="el-GR"/>
        </w:rPr>
        <w:t xml:space="preserve">την ενίσχυση της συμμετοχής των εργοδοτών στην Επαγγελματική Εκπαίδευση και Κατάρτιση και το σχεδιασμό μέτρων για την επικύρωση της </w:t>
      </w:r>
      <w:r w:rsidRPr="006C33E0">
        <w:rPr>
          <w:lang w:val="el-GR"/>
        </w:rPr>
        <w:t>μη</w:t>
      </w:r>
      <w:r>
        <w:rPr>
          <w:lang w:val="el-GR"/>
        </w:rPr>
        <w:t xml:space="preserve"> τυπικής και της άτυπης μάθησης</w:t>
      </w:r>
      <w:r w:rsidRPr="006C33E0">
        <w:rPr>
          <w:lang w:val="el-GR"/>
        </w:rPr>
        <w:t>.</w:t>
      </w:r>
      <w:r>
        <w:rPr>
          <w:lang w:val="el-GR"/>
        </w:rPr>
        <w:t xml:space="preserve"> Μια επίσης σημαντική πρόκληση που δεν έχει αντιμετωπιστεί επαρκώς, </w:t>
      </w:r>
      <w:r w:rsidR="000E1659">
        <w:rPr>
          <w:lang w:val="el-GR"/>
        </w:rPr>
        <w:t>αφορά στην</w:t>
      </w:r>
      <w:r>
        <w:rPr>
          <w:lang w:val="el-GR"/>
        </w:rPr>
        <w:t xml:space="preserve"> αναντιστοιχία μεταξύ δεξιοτήτων/ ειδικοτήτων που αναζητούν οι εργοδότες από τους νέους και εκείνων που παρέχει το εκπαιδευτικό σύστημα, η οποία συμβάλει στα υψηλά ποσοστά ανεργίας που καταγράφονται. </w:t>
      </w:r>
    </w:p>
    <w:p w14:paraId="7546C9C7" w14:textId="77777777" w:rsidR="00CD5EEF" w:rsidRDefault="00CD5EEF" w:rsidP="001C18AE">
      <w:pPr>
        <w:jc w:val="both"/>
        <w:rPr>
          <w:lang w:val="el-GR"/>
        </w:rPr>
      </w:pPr>
      <w:r>
        <w:rPr>
          <w:lang w:val="el-GR"/>
        </w:rPr>
        <w:t>Τα μέτρα που έχουν ληφθεί μέχρι σήμερα στο πλαίσιο της υλοποίησης της ΠΑΝ δεν μπορούν να δικαιολογήσουν κάποια ιδιαίτερη πρόοδο. Σύμφωνα με την Ευρωπαϊκή Επιτροπή, π</w:t>
      </w:r>
      <w:r w:rsidRPr="0020614E">
        <w:rPr>
          <w:lang w:val="el-GR"/>
        </w:rPr>
        <w:t xml:space="preserve">εριορισμένη πρόοδος σημειώθηκε όσον αφορά την ενίσχυση της ικανότητας των δημόσιων υπηρεσιών απασχόλησης δεδομένου ότι η πρόσληψη πρόσθετων συμβούλων καθυστερεί διαρκώς και τα σχέδια για τη βελτίωση </w:t>
      </w:r>
      <w:r>
        <w:rPr>
          <w:lang w:val="el-GR"/>
        </w:rPr>
        <w:t>των υπηρεσιών παραμένουν ασαφή.</w:t>
      </w:r>
      <w:r w:rsidRPr="0020614E">
        <w:rPr>
          <w:lang w:val="el-GR"/>
        </w:rPr>
        <w:t xml:space="preserve"> </w:t>
      </w:r>
      <w:r>
        <w:rPr>
          <w:lang w:val="el-GR"/>
        </w:rPr>
        <w:t>Επίσης, π</w:t>
      </w:r>
      <w:r w:rsidRPr="0020614E">
        <w:rPr>
          <w:lang w:val="el-GR"/>
        </w:rPr>
        <w:t>αρατηρείται κάποια πρόοδος όσον αφορά την προσέγγιση των μη καταγεγραμμένων ανέργων, ιδίως των νέων, ωστόσο η έκβαση αυτών των πρωτοβουλιών από πλευράς αποτελεσμάτων δεν είναι ακόμη γνωστή.</w:t>
      </w:r>
    </w:p>
    <w:p w14:paraId="23E408AD" w14:textId="77777777" w:rsidR="00CD5EEF" w:rsidRDefault="00CD5EEF" w:rsidP="001C18AE">
      <w:pPr>
        <w:jc w:val="both"/>
        <w:rPr>
          <w:lang w:val="el-GR"/>
        </w:rPr>
      </w:pPr>
      <w:r>
        <w:rPr>
          <w:lang w:val="el-GR"/>
        </w:rPr>
        <w:t>Γι</w:t>
      </w:r>
      <w:r w:rsidR="000E1659">
        <w:rPr>
          <w:lang w:val="el-GR"/>
        </w:rPr>
        <w:t>’</w:t>
      </w:r>
      <w:r>
        <w:rPr>
          <w:lang w:val="el-GR"/>
        </w:rPr>
        <w:t xml:space="preserve"> αυτό το λόγο στις συστάσεις που απευθύνει το Συμβούλιο προς την Κύπρο για το 2017 (</w:t>
      </w:r>
      <w:r w:rsidRPr="00312220">
        <w:rPr>
          <w:lang w:val="el-GR"/>
        </w:rPr>
        <w:t>COM(2017) 512 final</w:t>
      </w:r>
      <w:r>
        <w:rPr>
          <w:lang w:val="el-GR"/>
        </w:rPr>
        <w:t>),</w:t>
      </w:r>
      <w:r w:rsidRPr="00FC13AB">
        <w:rPr>
          <w:lang w:val="el-GR"/>
        </w:rPr>
        <w:t xml:space="preserve"> </w:t>
      </w:r>
      <w:r>
        <w:rPr>
          <w:lang w:val="el-GR"/>
        </w:rPr>
        <w:t>σ</w:t>
      </w:r>
      <w:r w:rsidRPr="00FC13AB">
        <w:rPr>
          <w:lang w:val="el-GR"/>
        </w:rPr>
        <w:t>το πλαίσιο του Ευρωπαϊκού Εξαμήνου</w:t>
      </w:r>
      <w:r>
        <w:rPr>
          <w:lang w:val="el-GR"/>
        </w:rPr>
        <w:t xml:space="preserve">, περιλαμβάνονται μεταξύ άλλων η λήψη μέτρων για την επίσπευση των μεταρρυθμίσεων </w:t>
      </w:r>
      <w:r w:rsidRPr="00FC13AB">
        <w:rPr>
          <w:lang w:val="el-GR"/>
        </w:rPr>
        <w:t>με στόχο την ενίσχυση της ικανότητας των δημόσιων υπηρεσιών απασχόλησης</w:t>
      </w:r>
      <w:r>
        <w:rPr>
          <w:lang w:val="el-GR"/>
        </w:rPr>
        <w:t xml:space="preserve">, τη βελτίωση της προσέγγισης </w:t>
      </w:r>
      <w:r w:rsidRPr="00C0506A">
        <w:rPr>
          <w:lang w:val="el-GR"/>
        </w:rPr>
        <w:t>των μη καταγεγραμμένων ανέργων</w:t>
      </w:r>
      <w:r>
        <w:rPr>
          <w:lang w:val="el-GR"/>
        </w:rPr>
        <w:t xml:space="preserve">, </w:t>
      </w:r>
      <w:r w:rsidRPr="00FC13AB">
        <w:rPr>
          <w:lang w:val="el-GR"/>
        </w:rPr>
        <w:t>τη βελτίωση της ποιότητας των αποτελεσμάτων των ενεργητικών πο</w:t>
      </w:r>
      <w:r>
        <w:rPr>
          <w:lang w:val="el-GR"/>
        </w:rPr>
        <w:t xml:space="preserve">λιτικών για την αγορά εργασίας και την ολοκλήρωση της μεταρρύθμισης </w:t>
      </w:r>
      <w:r w:rsidRPr="00FC13AB">
        <w:rPr>
          <w:lang w:val="el-GR"/>
        </w:rPr>
        <w:t>του εκπαιδευτικού συστήματος</w:t>
      </w:r>
      <w:r>
        <w:rPr>
          <w:lang w:val="el-GR"/>
        </w:rPr>
        <w:t>,</w:t>
      </w:r>
      <w:r w:rsidRPr="00FC13AB">
        <w:rPr>
          <w:lang w:val="el-GR"/>
        </w:rPr>
        <w:t xml:space="preserve"> ώστε να βελτιωθούν η συνάφειά του με την αγορά εργασίας και οι επιδόσεις του, συμπεριλαμβανομένης της αξιολόγησης των εκπαιδευτικών.</w:t>
      </w:r>
    </w:p>
    <w:p w14:paraId="34AB4020" w14:textId="77777777" w:rsidR="00CD5EEF" w:rsidRDefault="00CD5EEF" w:rsidP="001C18AE">
      <w:pPr>
        <w:jc w:val="both"/>
        <w:rPr>
          <w:lang w:val="el-GR"/>
        </w:rPr>
      </w:pPr>
      <w:r>
        <w:rPr>
          <w:lang w:val="el-GR"/>
        </w:rPr>
        <w:t xml:space="preserve">Από τις παρεμβάσεις που </w:t>
      </w:r>
      <w:r w:rsidR="000E1659">
        <w:rPr>
          <w:lang w:val="el-GR"/>
        </w:rPr>
        <w:t>προγραμματίσθηκαν</w:t>
      </w:r>
      <w:r>
        <w:rPr>
          <w:lang w:val="el-GR"/>
        </w:rPr>
        <w:t xml:space="preserve"> το 2016, όπως ήδη σημειώθηκε, προκηρύχθηκε το </w:t>
      </w:r>
      <w:r w:rsidRPr="00A70C29">
        <w:rPr>
          <w:b/>
          <w:lang w:val="el-GR"/>
        </w:rPr>
        <w:t>«Σχέδιο Παροχής Κινήτρων για την εργοδότηση άνεργων νέων μέχρι 25 ετών-1η Πρόσκληση»</w:t>
      </w:r>
      <w:r>
        <w:rPr>
          <w:lang w:val="el-GR"/>
        </w:rPr>
        <w:t>, ενώ τον Απρίλιο του 2017 ακολούθησε και 2</w:t>
      </w:r>
      <w:r w:rsidRPr="00A70C29">
        <w:rPr>
          <w:vertAlign w:val="superscript"/>
          <w:lang w:val="el-GR"/>
        </w:rPr>
        <w:t>η</w:t>
      </w:r>
      <w:r>
        <w:rPr>
          <w:lang w:val="el-GR"/>
        </w:rPr>
        <w:t xml:space="preserve"> Πρόσκληση. Επίσης, στις αρχές του 2017 προκηρύχθηκαν </w:t>
      </w:r>
      <w:r w:rsidRPr="00A70C29">
        <w:rPr>
          <w:b/>
          <w:lang w:val="el-GR"/>
        </w:rPr>
        <w:t>«Προγράμματα συμβουλευτικής και επαγγελματικού προσανατολισμού σε νέους 15-24 που βρίσκονται εκτός εργασίας, εκπαίδευσης ή κατάρτισης»</w:t>
      </w:r>
      <w:r>
        <w:rPr>
          <w:b/>
          <w:lang w:val="el-GR"/>
        </w:rPr>
        <w:t xml:space="preserve"> </w:t>
      </w:r>
      <w:r>
        <w:rPr>
          <w:lang w:val="el-GR"/>
        </w:rPr>
        <w:t>και το έργο «</w:t>
      </w:r>
      <w:r w:rsidRPr="00A70C29">
        <w:rPr>
          <w:b/>
          <w:lang w:val="el-GR"/>
        </w:rPr>
        <w:t>Εκσυγχρονισμός/ Ενίσχυση της Δημόσιας Υπηρεσίας Απασχόλησης</w:t>
      </w:r>
      <w:r>
        <w:rPr>
          <w:b/>
          <w:lang w:val="el-GR"/>
        </w:rPr>
        <w:t xml:space="preserve">». </w:t>
      </w:r>
      <w:r>
        <w:rPr>
          <w:lang w:val="el-GR"/>
        </w:rPr>
        <w:t xml:space="preserve">Σε ότι αφορά το τελευταίο, προβλέπεται </w:t>
      </w:r>
      <w:r w:rsidRPr="00A70C29">
        <w:rPr>
          <w:lang w:val="el-GR"/>
        </w:rPr>
        <w:t>η υλοποίηση μιας σειράς δράσεων που αφορούν στην ενίσχυση της ΔΥΑ με εξειδικευμένο ανθρώπινο δυναμικό (μίσθωση υπηρεσιών συμβούλων απασχόλησης και μετακινήσεις προσωπικού), την ανάπτυξη συστήματος παρακολούθησης και αξιολόγησης των ενεργητικών πολιτικών απασχόλησης, την επιμόρφωση του στελεχιακού δυναμικού, και την αναμόρφωση του μηχανογρα</w:t>
      </w:r>
      <w:r>
        <w:rPr>
          <w:lang w:val="el-GR"/>
        </w:rPr>
        <w:t>φικού συστήματος της ΔΥΑ (CPS).</w:t>
      </w:r>
      <w:r w:rsidRPr="00A70C29">
        <w:rPr>
          <w:lang w:val="el-GR"/>
        </w:rPr>
        <w:t> </w:t>
      </w:r>
      <w:r>
        <w:rPr>
          <w:lang w:val="el-GR"/>
        </w:rPr>
        <w:t>Ειδικά στο πλαίσιο της ΠΑΝ προγραμματίζονται</w:t>
      </w:r>
      <w:r w:rsidRPr="00A70C29">
        <w:rPr>
          <w:lang w:val="el-GR"/>
        </w:rPr>
        <w:t xml:space="preserve"> ενέργειες προσέλκυσης των νέων για συμμετοχή σε δράσεις του Εθνικού Σχεδίου για την Απασχόληση των Νέων, εφαρμογή δράσεων ομαδικής συμβουλευτικής, κατάρτιση του προσωπικού των γραφείων εργασίας, ανάπτυξη συστήματος παρακολούθησης και αξιολόγησης, βελτίωση του μηχανογραφικού συστήματος κλπ. </w:t>
      </w:r>
    </w:p>
    <w:p w14:paraId="17591C4D" w14:textId="77777777" w:rsidR="00CD5EEF" w:rsidRDefault="00CD5EEF" w:rsidP="001C18AE">
      <w:pPr>
        <w:jc w:val="both"/>
        <w:rPr>
          <w:lang w:val="el-GR"/>
        </w:rPr>
      </w:pPr>
      <w:r w:rsidRPr="009A03FD">
        <w:rPr>
          <w:lang w:val="el-GR"/>
        </w:rPr>
        <w:lastRenderedPageBreak/>
        <w:t>Έως τις 31/12/2016 είχε ενεργοποιηθεί το 50% (ήτοι €12,5 εκατ.) της συνολικής χρηματοδότησης της ΠΑΝ μέσω της έκδοσης τριών (3) προσκλήσεων, ενώ οι πιστοποιημένες δαπάνες ανέρχονταν μόλις στο 20% της συνολικής χρηματοδότησης της ΠΑΝ.</w:t>
      </w:r>
    </w:p>
    <w:p w14:paraId="509F8206" w14:textId="77777777" w:rsidR="008230FA" w:rsidRPr="008230FA" w:rsidRDefault="008230FA" w:rsidP="001C18AE">
      <w:pPr>
        <w:spacing w:after="0" w:line="240" w:lineRule="auto"/>
        <w:jc w:val="both"/>
        <w:rPr>
          <w:lang w:val="el-GR"/>
        </w:rPr>
      </w:pPr>
    </w:p>
    <w:p w14:paraId="124C0809" w14:textId="77777777" w:rsidR="001073E0" w:rsidRPr="00DE5D3C" w:rsidRDefault="008230FA" w:rsidP="001C18AE">
      <w:pPr>
        <w:spacing w:line="240" w:lineRule="auto"/>
        <w:jc w:val="both"/>
        <w:rPr>
          <w:b/>
          <w:i/>
          <w:lang w:val="el-GR"/>
        </w:rPr>
      </w:pPr>
      <w:r w:rsidRPr="00DE5D3C">
        <w:rPr>
          <w:b/>
          <w:i/>
          <w:lang w:val="el-GR"/>
        </w:rPr>
        <w:t>γ) Αξιολόγηση της υλοποίησης της ΠΑΝ όσον αφορά τους σκοπούς και τους στόχους που έχουν οριστεί, καθώς και τη συμβολή στην εφαρμογή της Εγγύησης για τη Νεολαία.</w:t>
      </w:r>
    </w:p>
    <w:p w14:paraId="09DCEB4F" w14:textId="77777777" w:rsidR="00CD5EEF" w:rsidRPr="00F3466E" w:rsidRDefault="00CD5EEF" w:rsidP="001C18AE">
      <w:pPr>
        <w:autoSpaceDE w:val="0"/>
        <w:autoSpaceDN w:val="0"/>
        <w:adjustRightInd w:val="0"/>
        <w:jc w:val="both"/>
        <w:rPr>
          <w:rFonts w:eastAsia="Calibri" w:cs="Calibri"/>
          <w:bCs/>
          <w:color w:val="000000"/>
          <w:lang w:val="el-GR"/>
        </w:rPr>
      </w:pPr>
      <w:r>
        <w:rPr>
          <w:rFonts w:eastAsia="TimesNewRomanPSMT" w:cs="Calibri"/>
          <w:lang w:val="el-GR"/>
        </w:rPr>
        <w:t>Το</w:t>
      </w:r>
      <w:r w:rsidRPr="00F3466E">
        <w:rPr>
          <w:rFonts w:eastAsia="TimesNewRomanPSMT" w:cs="Calibri"/>
          <w:lang w:val="el-GR"/>
        </w:rPr>
        <w:t xml:space="preserve"> 2015 εκπονήθηκε αξιολόγηση των αποτελεσμάτων των παρεμβάσεων που υλοποιούνται από την ΠΑΝ και την αντίστοιχη στήριξη του ΕΚΤ</w:t>
      </w:r>
      <w:r>
        <w:rPr>
          <w:rFonts w:eastAsia="TimesNewRomanPSMT" w:cs="Calibri"/>
          <w:lang w:val="el-GR"/>
        </w:rPr>
        <w:t>,</w:t>
      </w:r>
      <w:r w:rsidRPr="00F3466E">
        <w:rPr>
          <w:rFonts w:eastAsia="TimesNewRomanPSMT" w:cs="Calibri"/>
          <w:lang w:val="el-GR"/>
        </w:rPr>
        <w:t xml:space="preserve"> σύμφωνα με το Άρθρο 19 (6) του Κανονισμού (ΕΕ) αριθ. 1304/2013. </w:t>
      </w:r>
      <w:r w:rsidRPr="008138DC">
        <w:rPr>
          <w:rFonts w:cs="Calibri"/>
          <w:lang w:val="el-GR"/>
        </w:rPr>
        <w:t xml:space="preserve">Η μελέτη εστίασε στην αξιολόγηση της αποτελεσματικότητας, της αποδοτικότητας και του αντίκτυπου των παρεμβάσεων που προωθούνται στα πλαίσια της Πρωτοβουλίας για την Απασχόληση των Νέων (ΠΑΝ) στην Κύπρο. </w:t>
      </w:r>
      <w:r w:rsidRPr="00F3466E">
        <w:rPr>
          <w:rFonts w:eastAsia="Calibri" w:cs="Calibri"/>
          <w:bCs/>
          <w:color w:val="000000"/>
          <w:lang w:val="el-GR"/>
        </w:rPr>
        <w:t xml:space="preserve">Σύμφωνα με την τελική έκθεση αξιολόγησης </w:t>
      </w:r>
      <w:r>
        <w:rPr>
          <w:rFonts w:eastAsia="Calibri" w:cs="Calibri"/>
          <w:bCs/>
          <w:color w:val="000000"/>
          <w:lang w:val="el-GR"/>
        </w:rPr>
        <w:t>(Δεκέμβριος 2015) διαφάνηκε ότι</w:t>
      </w:r>
      <w:r w:rsidRPr="00F3466E">
        <w:rPr>
          <w:rFonts w:eastAsia="Calibri" w:cs="Calibri"/>
          <w:bCs/>
          <w:color w:val="000000"/>
          <w:lang w:val="el-GR"/>
        </w:rPr>
        <w:t>:</w:t>
      </w:r>
    </w:p>
    <w:p w14:paraId="7B3BE55A" w14:textId="77777777" w:rsidR="00CD5EEF" w:rsidRPr="00F3466E" w:rsidRDefault="00CD5EEF" w:rsidP="00136036">
      <w:pPr>
        <w:pStyle w:val="ListParagraph"/>
        <w:numPr>
          <w:ilvl w:val="0"/>
          <w:numId w:val="9"/>
        </w:numPr>
        <w:autoSpaceDE w:val="0"/>
        <w:autoSpaceDN w:val="0"/>
        <w:adjustRightInd w:val="0"/>
        <w:ind w:left="426" w:hanging="284"/>
        <w:contextualSpacing w:val="0"/>
        <w:jc w:val="both"/>
        <w:rPr>
          <w:rFonts w:eastAsia="Calibri" w:cs="Calibri"/>
          <w:color w:val="000000"/>
          <w:lang w:val="el-GR"/>
        </w:rPr>
      </w:pPr>
      <w:r w:rsidRPr="00F3466E">
        <w:rPr>
          <w:rFonts w:eastAsia="Calibri" w:cs="Calibri"/>
          <w:color w:val="000000"/>
          <w:lang w:val="el-GR"/>
        </w:rPr>
        <w:t xml:space="preserve">Ο αρχικός σχεδιασμός, χαρακτηρίζεται ως ικανοποιητικός, καθώς: </w:t>
      </w:r>
    </w:p>
    <w:p w14:paraId="43DA9B9D" w14:textId="77777777" w:rsidR="00CD5EEF" w:rsidRPr="00F3466E" w:rsidRDefault="00CD5EEF" w:rsidP="00136036">
      <w:pPr>
        <w:pStyle w:val="ListParagraph"/>
        <w:numPr>
          <w:ilvl w:val="0"/>
          <w:numId w:val="8"/>
        </w:numPr>
        <w:autoSpaceDE w:val="0"/>
        <w:autoSpaceDN w:val="0"/>
        <w:adjustRightInd w:val="0"/>
        <w:ind w:left="709" w:hanging="283"/>
        <w:contextualSpacing w:val="0"/>
        <w:jc w:val="both"/>
        <w:rPr>
          <w:rFonts w:eastAsia="Calibri" w:cs="Calibri"/>
          <w:color w:val="000000"/>
          <w:lang w:val="el-GR"/>
        </w:rPr>
      </w:pPr>
      <w:r w:rsidRPr="00F3466E">
        <w:rPr>
          <w:rFonts w:eastAsia="Calibri" w:cs="Calibri"/>
          <w:color w:val="000000"/>
          <w:lang w:val="el-GR"/>
        </w:rPr>
        <w:t xml:space="preserve">Βασίζεται σε αξιόπιστα στατιστικά δεδομένα. </w:t>
      </w:r>
    </w:p>
    <w:p w14:paraId="3490C1DC" w14:textId="77777777" w:rsidR="00CD5EEF" w:rsidRPr="00F3466E" w:rsidRDefault="00CD5EEF" w:rsidP="00136036">
      <w:pPr>
        <w:pStyle w:val="ListParagraph"/>
        <w:numPr>
          <w:ilvl w:val="0"/>
          <w:numId w:val="8"/>
        </w:numPr>
        <w:autoSpaceDE w:val="0"/>
        <w:autoSpaceDN w:val="0"/>
        <w:adjustRightInd w:val="0"/>
        <w:ind w:left="709" w:hanging="283"/>
        <w:contextualSpacing w:val="0"/>
        <w:jc w:val="both"/>
        <w:rPr>
          <w:rFonts w:eastAsia="Calibri" w:cs="Calibri"/>
          <w:color w:val="000000"/>
          <w:lang w:val="el-GR"/>
        </w:rPr>
      </w:pPr>
      <w:r w:rsidRPr="00F3466E">
        <w:rPr>
          <w:rFonts w:eastAsia="Calibri" w:cs="Calibri"/>
          <w:color w:val="000000"/>
          <w:lang w:val="el-GR"/>
        </w:rPr>
        <w:t>Καλύπτει τις προβλεπόμενες ομάδες στόχου</w:t>
      </w:r>
      <w:r>
        <w:rPr>
          <w:rFonts w:eastAsia="Calibri" w:cs="Calibri"/>
          <w:color w:val="000000"/>
          <w:lang w:val="el-GR"/>
        </w:rPr>
        <w:t>ς</w:t>
      </w:r>
      <w:r w:rsidRPr="00F3466E">
        <w:rPr>
          <w:rFonts w:eastAsia="Calibri" w:cs="Calibri"/>
          <w:color w:val="000000"/>
          <w:lang w:val="el-GR"/>
        </w:rPr>
        <w:t xml:space="preserve">, όπως προδιαγράφονται στο σχετικό Κανονισμό. </w:t>
      </w:r>
    </w:p>
    <w:p w14:paraId="3069D703" w14:textId="77777777" w:rsidR="00CD5EEF" w:rsidRPr="00F3466E" w:rsidRDefault="00CD5EEF" w:rsidP="00136036">
      <w:pPr>
        <w:pStyle w:val="ListParagraph"/>
        <w:numPr>
          <w:ilvl w:val="0"/>
          <w:numId w:val="8"/>
        </w:numPr>
        <w:autoSpaceDE w:val="0"/>
        <w:autoSpaceDN w:val="0"/>
        <w:adjustRightInd w:val="0"/>
        <w:ind w:left="709" w:hanging="283"/>
        <w:contextualSpacing w:val="0"/>
        <w:jc w:val="both"/>
        <w:rPr>
          <w:rFonts w:eastAsia="Calibri" w:cs="Calibri"/>
          <w:color w:val="000000"/>
          <w:lang w:val="el-GR"/>
        </w:rPr>
      </w:pPr>
      <w:r w:rsidRPr="00F3466E">
        <w:rPr>
          <w:rFonts w:eastAsia="Calibri" w:cs="Calibri"/>
          <w:color w:val="000000"/>
          <w:lang w:val="el-GR"/>
        </w:rPr>
        <w:t xml:space="preserve">Οι παρεμβάσεις καλύπτουν ένα ικανοποιητικό πλέγμα δράσεων με υψηλό βαθμό συνέργειας μεταξύ τους. </w:t>
      </w:r>
    </w:p>
    <w:p w14:paraId="676A4982" w14:textId="77777777" w:rsidR="00CD5EEF" w:rsidRPr="00F3466E" w:rsidRDefault="00CD5EEF" w:rsidP="00136036">
      <w:pPr>
        <w:pStyle w:val="ListParagraph"/>
        <w:numPr>
          <w:ilvl w:val="0"/>
          <w:numId w:val="10"/>
        </w:numPr>
        <w:autoSpaceDE w:val="0"/>
        <w:autoSpaceDN w:val="0"/>
        <w:adjustRightInd w:val="0"/>
        <w:ind w:left="426"/>
        <w:contextualSpacing w:val="0"/>
        <w:jc w:val="both"/>
        <w:rPr>
          <w:rFonts w:eastAsia="Calibri" w:cs="Calibri"/>
          <w:lang w:val="el-GR"/>
        </w:rPr>
      </w:pPr>
      <w:r>
        <w:rPr>
          <w:rFonts w:eastAsia="Calibri" w:cs="Calibri"/>
          <w:color w:val="000000"/>
          <w:lang w:val="el-GR"/>
        </w:rPr>
        <w:t>Έως το Δεκέμβριο του 2015, α</w:t>
      </w:r>
      <w:r w:rsidRPr="00F3466E">
        <w:rPr>
          <w:rFonts w:eastAsia="Calibri" w:cs="Calibri"/>
          <w:color w:val="000000"/>
          <w:lang w:val="el-GR"/>
        </w:rPr>
        <w:t xml:space="preserve">πό το σύνολο των προγραμματιζόμενων παρεμβάσεων, </w:t>
      </w:r>
      <w:r>
        <w:rPr>
          <w:rFonts w:eastAsia="Calibri" w:cs="Calibri"/>
          <w:color w:val="000000"/>
          <w:lang w:val="el-GR"/>
        </w:rPr>
        <w:t>είχε ενεργοποιηθεί</w:t>
      </w:r>
      <w:r w:rsidRPr="00F3466E">
        <w:rPr>
          <w:rFonts w:eastAsia="Calibri" w:cs="Calibri"/>
          <w:color w:val="000000"/>
          <w:lang w:val="el-GR"/>
        </w:rPr>
        <w:t xml:space="preserve"> μόνο εκείνη που αφορά το Σχέδιο Τοποθέτησης Άνεργων Νέων Αποφοίτων Γυμνασίων, Λυκείων, Τεχνικών Σχολών και Μεταλυκειακής Εκπαίδευσης μέχρι και διετούς διάρκειας για Απόκτηση Εργασιακής Πείρας σε Επιχειρήσεις/Οργανισμούς. Οι υπόλοιπες παρεμβάσεις δεν εφαρμόστηκαν άμεσα, καθότι ένεκα της οικονομικής κατάστασης που βρισκόταν η χώρα ενεργοποιήθηκαν παρεμβάσεις ευρύτερου χαρακτήρα, στις οποίες συμπεριλαμβάνονται και οι νέοι, ενώ διέθεταν και μεγαλύτερο βαθμό ωριμότητας (Σχέδια Χορηγιών για μακροχρόνια ανέργους, νεανική και γυναικεία επιχειρηματικότητα, κλπ). </w:t>
      </w:r>
      <w:r w:rsidRPr="00163B52">
        <w:rPr>
          <w:rFonts w:eastAsia="Calibri" w:cs="Calibri"/>
          <w:color w:val="000000"/>
          <w:lang w:val="el-GR"/>
        </w:rPr>
        <w:t>Στην κατεύθυνση αυτή, κρίθηκε σκόπιμη η χρονική μετατόπιση της εφαρμογή τους για το 2016 (Α΄ Εξάμηνο), ώστε να μην συμπίπτουν χρονικά και να «ανταγωνίζονται» μεταξύ τους.</w:t>
      </w:r>
    </w:p>
    <w:p w14:paraId="7392DBA3" w14:textId="77777777" w:rsidR="00CD5EEF" w:rsidRDefault="00CD5EEF" w:rsidP="00136036">
      <w:pPr>
        <w:pStyle w:val="ListParagraph"/>
        <w:numPr>
          <w:ilvl w:val="0"/>
          <w:numId w:val="11"/>
        </w:numPr>
        <w:autoSpaceDE w:val="0"/>
        <w:autoSpaceDN w:val="0"/>
        <w:adjustRightInd w:val="0"/>
        <w:ind w:left="426"/>
        <w:contextualSpacing w:val="0"/>
        <w:jc w:val="both"/>
        <w:rPr>
          <w:rFonts w:eastAsia="Calibri" w:cs="Calibri"/>
          <w:lang w:val="el-GR"/>
        </w:rPr>
      </w:pPr>
      <w:r w:rsidRPr="00F3466E">
        <w:rPr>
          <w:rFonts w:eastAsia="Calibri" w:cs="Calibri"/>
          <w:lang w:val="el-GR"/>
        </w:rPr>
        <w:t>Η Δημόσια Υπηρεσία Απασχόλησης (ΔΥΑ) κατέχει τον κεντρικό / βασικό ρόλο στο σχεδιασμό και την υλοποίηση της ΠΑΝ και ιδιαίτερα της «Εγγύηση</w:t>
      </w:r>
      <w:r>
        <w:rPr>
          <w:rFonts w:eastAsia="Calibri" w:cs="Calibri"/>
          <w:lang w:val="el-GR"/>
        </w:rPr>
        <w:t>ς για τη Νεολαία», καθώς α</w:t>
      </w:r>
      <w:r w:rsidRPr="00F3466E">
        <w:rPr>
          <w:rFonts w:eastAsia="Calibri" w:cs="Calibri"/>
          <w:lang w:val="el-GR"/>
        </w:rPr>
        <w:t>ποτελεί το σημείο εστίασης μεταξύ όλων των φορέων που θα υλοποιήσουν δράσεις για τους νέους, ενώ είναι αρμοδιότητα της να κατευθύνει τους νέους στη βάση εξατομικευμένων υπηρεσιών στα διάφορα προγράμματα και σχέδια που εφαρμόζονται ή θα εφαρμοστούν μελλοντικά.</w:t>
      </w:r>
    </w:p>
    <w:p w14:paraId="12960101" w14:textId="77777777" w:rsidR="00CD5EEF" w:rsidRPr="00F3466E" w:rsidRDefault="00CD5EEF" w:rsidP="001C18AE">
      <w:pPr>
        <w:autoSpaceDE w:val="0"/>
        <w:autoSpaceDN w:val="0"/>
        <w:adjustRightInd w:val="0"/>
        <w:jc w:val="both"/>
        <w:rPr>
          <w:rFonts w:eastAsia="Calibri" w:cs="Calibri"/>
          <w:bCs/>
          <w:lang w:val="el-GR"/>
        </w:rPr>
      </w:pPr>
      <w:r w:rsidRPr="00F3466E">
        <w:rPr>
          <w:rFonts w:eastAsia="Calibri" w:cs="Calibri"/>
          <w:bCs/>
          <w:lang w:val="el-GR"/>
        </w:rPr>
        <w:t xml:space="preserve">Οι </w:t>
      </w:r>
      <w:r>
        <w:rPr>
          <w:rFonts w:eastAsia="Calibri" w:cs="Calibri"/>
          <w:bCs/>
          <w:lang w:val="el-GR"/>
        </w:rPr>
        <w:t>κυριότερες εισηγήσεις της Αξιολόγησης συνοψίζονται ως εξής</w:t>
      </w:r>
      <w:r w:rsidRPr="00F3466E">
        <w:rPr>
          <w:rFonts w:eastAsia="Calibri" w:cs="Calibri"/>
          <w:bCs/>
          <w:lang w:val="el-GR"/>
        </w:rPr>
        <w:t xml:space="preserve">: </w:t>
      </w:r>
    </w:p>
    <w:p w14:paraId="1FB13A10" w14:textId="77777777" w:rsidR="00CD5EEF" w:rsidRPr="00F3466E" w:rsidRDefault="00CD5EEF" w:rsidP="00136036">
      <w:pPr>
        <w:pStyle w:val="ListParagraph"/>
        <w:numPr>
          <w:ilvl w:val="0"/>
          <w:numId w:val="12"/>
        </w:numPr>
        <w:autoSpaceDE w:val="0"/>
        <w:autoSpaceDN w:val="0"/>
        <w:adjustRightInd w:val="0"/>
        <w:ind w:left="426"/>
        <w:contextualSpacing w:val="0"/>
        <w:jc w:val="both"/>
        <w:rPr>
          <w:rFonts w:eastAsia="Calibri" w:cs="Calibri"/>
          <w:lang w:val="el-GR"/>
        </w:rPr>
      </w:pPr>
      <w:r w:rsidRPr="00F3466E">
        <w:rPr>
          <w:rFonts w:eastAsia="Calibri" w:cs="Calibri"/>
          <w:lang w:val="el-GR"/>
        </w:rPr>
        <w:t>Ενεργοποίηση των υπολοίπων παρεμβάσεων της ΠΑΝ, με έμφαση στο Σχέδιο πρόσληψης ανέργων νέων και στις δράσεις ευαισθητοποίησης / ενημέρωσης. Ιδιαίτερα σημαντική, η ενίσχυση τομέων προτεραιότητας και υψηλής προστιθέμενης αξίας.</w:t>
      </w:r>
    </w:p>
    <w:p w14:paraId="6D0D4237" w14:textId="77777777" w:rsidR="00CD5EEF" w:rsidRDefault="00CD5EEF" w:rsidP="00136036">
      <w:pPr>
        <w:pStyle w:val="ListParagraph"/>
        <w:numPr>
          <w:ilvl w:val="0"/>
          <w:numId w:val="12"/>
        </w:numPr>
        <w:autoSpaceDE w:val="0"/>
        <w:autoSpaceDN w:val="0"/>
        <w:adjustRightInd w:val="0"/>
        <w:ind w:left="426"/>
        <w:contextualSpacing w:val="0"/>
        <w:jc w:val="both"/>
        <w:rPr>
          <w:rFonts w:eastAsia="Calibri" w:cs="Calibri"/>
          <w:lang w:val="el-GR"/>
        </w:rPr>
      </w:pPr>
      <w:r w:rsidRPr="00F3466E">
        <w:rPr>
          <w:rFonts w:eastAsia="Calibri" w:cs="Calibri"/>
          <w:lang w:val="el-GR"/>
        </w:rPr>
        <w:lastRenderedPageBreak/>
        <w:t xml:space="preserve">Ουσιαστική ενεργοποίηση του Ενιαίου Συστήματος παρακολούθησης και αξιολόγησης των Ενεργών Μέτρων Πολιτικής Απασχόλησης, με έμφαση στις απαιτήσεις παρακολούθησης της ΠΑΝ και πρόβλεψη για κάλυψη των διαφόρων παραμέτρων της (πχ για οικονομικά μη ενεργούς). </w:t>
      </w:r>
    </w:p>
    <w:p w14:paraId="30B21FFB" w14:textId="77777777" w:rsidR="00CD5EEF" w:rsidRPr="00F3466E" w:rsidRDefault="00CD5EEF" w:rsidP="00136036">
      <w:pPr>
        <w:pStyle w:val="ListParagraph"/>
        <w:numPr>
          <w:ilvl w:val="0"/>
          <w:numId w:val="12"/>
        </w:numPr>
        <w:autoSpaceDE w:val="0"/>
        <w:autoSpaceDN w:val="0"/>
        <w:adjustRightInd w:val="0"/>
        <w:ind w:left="426"/>
        <w:contextualSpacing w:val="0"/>
        <w:jc w:val="both"/>
        <w:rPr>
          <w:rFonts w:eastAsia="Calibri" w:cs="Calibri"/>
          <w:lang w:val="el-GR"/>
        </w:rPr>
      </w:pPr>
      <w:r>
        <w:rPr>
          <w:rFonts w:eastAsia="Calibri" w:cs="Calibri"/>
          <w:lang w:val="el-GR"/>
        </w:rPr>
        <w:t>Ά</w:t>
      </w:r>
      <w:r w:rsidRPr="00214A32">
        <w:rPr>
          <w:rFonts w:eastAsia="Calibri" w:cs="Calibri"/>
          <w:lang w:val="el-GR"/>
        </w:rPr>
        <w:t>μεση ενεργοποίηση του Οργανισμού Νεολαίας Κύπρου</w:t>
      </w:r>
      <w:r>
        <w:rPr>
          <w:rFonts w:eastAsia="Calibri" w:cs="Calibri"/>
          <w:lang w:val="el-GR"/>
        </w:rPr>
        <w:t>,</w:t>
      </w:r>
      <w:r w:rsidRPr="00214A32">
        <w:rPr>
          <w:rFonts w:eastAsia="Calibri" w:cs="Calibri"/>
          <w:lang w:val="el-GR"/>
        </w:rPr>
        <w:t xml:space="preserve"> στο πλαίσιο της εταιρικής σχέσης (με πιθανή αναβάθμιση / διεύρυνση του ρόλου του), δεδομένου ότι θα αναλάβει την ευαισθητοποίηση / ενημέρωση των νέων για τις διάφορες παρεμβάσεις του ΕΣΔΑΝ / ΠΑΝ,</w:t>
      </w:r>
    </w:p>
    <w:p w14:paraId="3C81BE85" w14:textId="77777777" w:rsidR="00CD5EEF" w:rsidRDefault="00CD5EEF" w:rsidP="00136036">
      <w:pPr>
        <w:pStyle w:val="ListParagraph"/>
        <w:numPr>
          <w:ilvl w:val="0"/>
          <w:numId w:val="12"/>
        </w:numPr>
        <w:autoSpaceDE w:val="0"/>
        <w:autoSpaceDN w:val="0"/>
        <w:adjustRightInd w:val="0"/>
        <w:ind w:left="426"/>
        <w:contextualSpacing w:val="0"/>
        <w:jc w:val="both"/>
        <w:rPr>
          <w:rFonts w:eastAsia="Calibri" w:cs="Calibri"/>
          <w:lang w:val="el-GR"/>
        </w:rPr>
      </w:pPr>
      <w:r w:rsidRPr="00F3466E">
        <w:rPr>
          <w:rFonts w:eastAsia="Calibri" w:cs="Calibri"/>
          <w:lang w:val="el-GR"/>
        </w:rPr>
        <w:t xml:space="preserve">Παράλληλη ενεργοποίηση των παρεμβάσεων εκσυγχρονισμού και ενίσχυσης της ΔΥΑ, με έμφαση σε δράσεις που αφορούν τους νέους και ειδικότερα την εφαρμογή της «Εγγύησης για τη Νεολαία» και της ΠΑΝ. </w:t>
      </w:r>
    </w:p>
    <w:p w14:paraId="5876C217" w14:textId="77777777" w:rsidR="00CD5EEF" w:rsidRPr="00F3466E" w:rsidRDefault="00CD5EEF" w:rsidP="00136036">
      <w:pPr>
        <w:pStyle w:val="ListParagraph"/>
        <w:numPr>
          <w:ilvl w:val="0"/>
          <w:numId w:val="12"/>
        </w:numPr>
        <w:autoSpaceDE w:val="0"/>
        <w:autoSpaceDN w:val="0"/>
        <w:adjustRightInd w:val="0"/>
        <w:ind w:left="426"/>
        <w:contextualSpacing w:val="0"/>
        <w:jc w:val="both"/>
        <w:rPr>
          <w:rFonts w:eastAsia="Calibri" w:cs="Calibri"/>
          <w:lang w:val="el-GR"/>
        </w:rPr>
      </w:pPr>
      <w:r w:rsidRPr="00214A32">
        <w:rPr>
          <w:rFonts w:eastAsia="Calibri" w:cs="Calibri"/>
          <w:lang w:val="el-GR"/>
        </w:rPr>
        <w:t>Δημιουργία και υλοποίηση προγραμμάτων κατάρτισης, με συνδυασμό επιμόρφωσης και απόκτησης εργασιακής πείρας.</w:t>
      </w:r>
    </w:p>
    <w:p w14:paraId="3EDF59E2" w14:textId="77777777" w:rsidR="00CD5EEF" w:rsidRPr="00F3466E" w:rsidRDefault="00CD5EEF" w:rsidP="001C18AE">
      <w:pPr>
        <w:jc w:val="both"/>
        <w:rPr>
          <w:rFonts w:cs="Calibri"/>
          <w:lang w:val="el-GR"/>
        </w:rPr>
      </w:pPr>
      <w:r w:rsidRPr="008E05F3">
        <w:rPr>
          <w:rFonts w:cs="Calibri"/>
          <w:lang w:val="el-GR"/>
        </w:rPr>
        <w:t>Ειδικά σε ότι αφορά τον 1</w:t>
      </w:r>
      <w:r w:rsidRPr="008E05F3">
        <w:rPr>
          <w:rFonts w:cs="Calibri"/>
          <w:vertAlign w:val="superscript"/>
          <w:lang w:val="el-GR"/>
        </w:rPr>
        <w:t>ο</w:t>
      </w:r>
      <w:r w:rsidRPr="008E05F3">
        <w:rPr>
          <w:rFonts w:cs="Calibri"/>
          <w:lang w:val="el-GR"/>
        </w:rPr>
        <w:t xml:space="preserve"> κύκλο του «Σχεδίου Τοποθέτησης Άνεργων Νέων Αποφοίτων Γυμνασίων, Λυκείων, Τεχνικών Σχολών και Μεταλυκειακής Εκπαίδευσης μέχρι</w:t>
      </w:r>
      <w:r>
        <w:rPr>
          <w:rFonts w:cs="Calibri"/>
          <w:lang w:val="el-GR"/>
        </w:rPr>
        <w:t xml:space="preserve"> διετούς διάρκειας για απόκτηση</w:t>
      </w:r>
      <w:r w:rsidRPr="008E05F3">
        <w:rPr>
          <w:rFonts w:cs="Calibri"/>
          <w:lang w:val="el-GR"/>
        </w:rPr>
        <w:t xml:space="preserve"> Εργασιακής Πείρας σε Επιχειρήσεις /Οργανισμούς», πραγματοποιήθηκε  εσωτερική αξιολόγηση από την Αρχή Ανάπτυξης Ανθρώπινου Δυναμικού (Δικαιούχος του έργου) αναφορικά με την επίδραση του Σχεδίου στην απασχολησιμότητα των νέων</w:t>
      </w:r>
      <w:r w:rsidR="000E1659">
        <w:rPr>
          <w:rFonts w:cs="Calibri"/>
          <w:lang w:val="el-GR"/>
        </w:rPr>
        <w:t>. Δ</w:t>
      </w:r>
      <w:r w:rsidRPr="008E05F3">
        <w:rPr>
          <w:rFonts w:cs="Calibri"/>
          <w:lang w:val="el-GR"/>
        </w:rPr>
        <w:t>ιαφάνηκε ότι σχεδόν 1 στους 3 συμμετέχοντες του Σχεδίου (32,7%) είναι απασχολούμενοι 4 περίπου μήνες μετά την ολοκλήρωση της συμμετοχής τους. Αξιοσημείωτο είναι το γεγονός ότι το 42,9% από αυτούς που απασχολούνται, εξακολουθούν να βρίσκονται στην επιχείρηση/οργανισμό όπου τοποθετήθηκαν. Πάνω από 9 στους 10 συμμετέχοντες (90,7%) αξιολογούν ως πολύ καλό ή καλό τον βαθμό αξιοποίησης των γνώσεων και δεξιοτήτων που απόκτησαν μέσα από τη συμμετοχή τους στο Σχέδιο. Πάνω από 8 στους 10 (84,4%) θεωρούν ότι η συμμετοχή τους βελτίωσε τις προοπτικές απασχόλησής τους. Πάνω από 9 στους 10 συμμετέχοντες (91,1%) στο Σχέδιο είναι είτε πολύ ικανοποιημένοι ή ικανοποιημένοι από το Σχέδιο στο οποίο συμμετείχαν, και θα παρότρυναν τρίτους για να συμμετάσχουν σε αντίστοιχο Σχέδιο (94,5%).</w:t>
      </w:r>
    </w:p>
    <w:p w14:paraId="198811BD" w14:textId="77777777" w:rsidR="00CD5EEF" w:rsidRDefault="00CD5EEF" w:rsidP="001C18AE">
      <w:pPr>
        <w:jc w:val="both"/>
        <w:rPr>
          <w:lang w:val="el-GR"/>
        </w:rPr>
      </w:pPr>
    </w:p>
    <w:p w14:paraId="141D42F3" w14:textId="77777777" w:rsidR="00CD5EEF" w:rsidRDefault="00CD5EEF" w:rsidP="001C18AE">
      <w:pPr>
        <w:jc w:val="both"/>
        <w:rPr>
          <w:lang w:val="el-GR"/>
        </w:rPr>
      </w:pPr>
    </w:p>
    <w:p w14:paraId="419E1C19" w14:textId="77777777" w:rsidR="00176136" w:rsidRPr="001073E0" w:rsidRDefault="00CD5EEF" w:rsidP="001C18AE">
      <w:pPr>
        <w:jc w:val="both"/>
        <w:rPr>
          <w:lang w:val="el-GR"/>
        </w:rPr>
      </w:pPr>
      <w:r>
        <w:rPr>
          <w:lang w:val="el-GR"/>
        </w:rPr>
        <w:br w:type="page"/>
      </w:r>
    </w:p>
    <w:p w14:paraId="69A8D148" w14:textId="77777777" w:rsidR="001073E0" w:rsidRDefault="001073E0" w:rsidP="001073E0">
      <w:pPr>
        <w:pStyle w:val="Heading1"/>
        <w:numPr>
          <w:ilvl w:val="0"/>
          <w:numId w:val="0"/>
        </w:numPr>
        <w:rPr>
          <w:rFonts w:ascii="Calibri" w:hAnsi="Calibri" w:cs="Calibri"/>
          <w:smallCaps w:val="0"/>
          <w:u w:val="single"/>
          <w:lang w:val="el-GR"/>
        </w:rPr>
      </w:pPr>
      <w:bookmarkStart w:id="45" w:name="_Toc483572200"/>
      <w:r>
        <w:rPr>
          <w:rFonts w:ascii="Calibri" w:hAnsi="Calibri" w:cs="Calibri"/>
          <w:smallCaps w:val="0"/>
          <w:u w:val="single"/>
          <w:lang w:val="el-GR"/>
        </w:rPr>
        <w:lastRenderedPageBreak/>
        <w:t>ΜΕΡΟΣ ΙΙΙ:</w:t>
      </w:r>
      <w:r w:rsidRPr="001073E0">
        <w:rPr>
          <w:rFonts w:ascii="Calibri" w:hAnsi="Calibri" w:cs="Calibri"/>
          <w:smallCaps w:val="0"/>
          <w:lang w:val="el-GR"/>
        </w:rPr>
        <w:t xml:space="preserve"> </w:t>
      </w:r>
      <w:r w:rsidRPr="001073E0">
        <w:rPr>
          <w:rFonts w:ascii="Calibri" w:hAnsi="Calibri" w:cs="Calibri"/>
          <w:caps/>
          <w:smallCaps w:val="0"/>
          <w:lang w:val="el-GR"/>
        </w:rPr>
        <w:t>Πληροφορίες και αξιολόγηση που πρέπει να παρέχονται για την πολιτική συνοχής σε περίπτωση που γίνεται χρήση της δυνατότητας που προβλέπεται στο άρθρο 111 παράγραφος 4 του κανονισμού (ΕΕ) αριθ. 1303/2013 για την ένταξη στην έκθεση προόδου ορισμένων στοιχείων των ετήσιων εκθέσεων υλοποίησης, οι οποίες πρέπει να υποβληθούν το 2017 και το 2019</w:t>
      </w:r>
      <w:bookmarkEnd w:id="45"/>
    </w:p>
    <w:p w14:paraId="0C71AE12" w14:textId="77777777" w:rsidR="008230FA" w:rsidRDefault="00095CB3" w:rsidP="001C18AE">
      <w:pPr>
        <w:pStyle w:val="Heading1"/>
        <w:numPr>
          <w:ilvl w:val="0"/>
          <w:numId w:val="44"/>
        </w:numPr>
        <w:ind w:left="426"/>
        <w:rPr>
          <w:rFonts w:ascii="Calibri" w:hAnsi="Calibri"/>
          <w:caps/>
          <w:smallCaps w:val="0"/>
          <w:lang w:val="el-GR"/>
        </w:rPr>
      </w:pPr>
      <w:bookmarkStart w:id="46" w:name="_Toc483572201"/>
      <w:r w:rsidRPr="00095CB3">
        <w:rPr>
          <w:rFonts w:ascii="Calibri" w:hAnsi="Calibri"/>
          <w:caps/>
          <w:smallCaps w:val="0"/>
          <w:lang w:val="el-GR"/>
        </w:rPr>
        <w:t>Συμπληρωματικές πληροφορίες και αξιολόγηση που μπορούν να προστεθούν, ανάλογα με το περιεχόμενο και τους στόχους του επιχειρησιακού προγράμματος</w:t>
      </w:r>
      <w:r w:rsidRPr="00095CB3">
        <w:rPr>
          <w:rStyle w:val="FootnoteReference"/>
          <w:rFonts w:ascii="Calibri" w:hAnsi="Calibri"/>
          <w:caps/>
          <w:smallCaps w:val="0"/>
          <w:vertAlign w:val="baseline"/>
          <w:lang w:val="el-GR"/>
        </w:rPr>
        <w:t xml:space="preserve"> </w:t>
      </w:r>
      <w:r w:rsidR="008230FA" w:rsidRPr="0040101F">
        <w:rPr>
          <w:rStyle w:val="FootnoteReference"/>
          <w:rFonts w:ascii="Calibri" w:hAnsi="Calibri"/>
          <w:bCs w:val="0"/>
          <w:caps/>
          <w:smallCaps w:val="0"/>
          <w:lang w:val="el-GR"/>
        </w:rPr>
        <w:footnoteReference w:id="22"/>
      </w:r>
      <w:bookmarkEnd w:id="46"/>
    </w:p>
    <w:p w14:paraId="002FA622" w14:textId="77777777" w:rsidR="009F446E" w:rsidRPr="009F446E" w:rsidRDefault="009F446E" w:rsidP="00752536">
      <w:pPr>
        <w:jc w:val="both"/>
        <w:rPr>
          <w:lang w:val="el-GR"/>
        </w:rPr>
      </w:pPr>
    </w:p>
    <w:p w14:paraId="3F0525AB" w14:textId="77777777" w:rsidR="009F446E" w:rsidRPr="0040101F" w:rsidRDefault="009F446E" w:rsidP="001C18AE">
      <w:pPr>
        <w:pStyle w:val="Heading2"/>
        <w:numPr>
          <w:ilvl w:val="1"/>
          <w:numId w:val="44"/>
        </w:numPr>
        <w:tabs>
          <w:tab w:val="left" w:pos="709"/>
        </w:tabs>
        <w:ind w:left="709" w:hanging="703"/>
        <w:rPr>
          <w:rFonts w:ascii="Calibri" w:hAnsi="Calibri"/>
          <w:lang w:val="el-GR"/>
        </w:rPr>
      </w:pPr>
      <w:bookmarkStart w:id="47" w:name="_Toc483572202"/>
      <w:r w:rsidRPr="0040101F">
        <w:rPr>
          <w:rFonts w:ascii="Calibri" w:hAnsi="Calibri"/>
          <w:lang w:val="el-GR"/>
        </w:rPr>
        <w:t>Πρόοδος της εφαρμογής της ολοκληρωμένης προσέγγισης της εδαφικής ανάπτυξης, περιλαμβανομένης της ανάπτυξης περιφερειών που αντιμετωπίζουν δημογραφικές προκλήσεις και μόνιμα ή φυσικά προβλήματα, της βιώσιμης αστικής ανάπτυξης και της τοπικής ανάπτυξης με πρωτοβουλία των τοπικών κοινοτήτων στο πλαίσιο του επιχειρησιακού προγράμματος.</w:t>
      </w:r>
      <w:bookmarkEnd w:id="47"/>
    </w:p>
    <w:p w14:paraId="4382D741" w14:textId="0449C54E" w:rsidR="00686B8D" w:rsidRPr="00D02D57" w:rsidRDefault="00686B8D" w:rsidP="00136036">
      <w:pPr>
        <w:jc w:val="both"/>
        <w:rPr>
          <w:lang w:val="el-GR"/>
        </w:rPr>
      </w:pPr>
      <w:r w:rsidRPr="00686B8D">
        <w:rPr>
          <w:lang w:val="el-GR"/>
        </w:rPr>
        <w:t xml:space="preserve">Στο </w:t>
      </w:r>
      <w:r w:rsidRPr="00686B8D">
        <w:rPr>
          <w:b/>
          <w:lang w:val="el-GR"/>
        </w:rPr>
        <w:t>ΠΑΑ</w:t>
      </w:r>
      <w:r w:rsidRPr="00686B8D">
        <w:rPr>
          <w:lang w:val="el-GR"/>
        </w:rPr>
        <w:t xml:space="preserve"> είναι δημοσιευμένος ο προσωρινός κατάλογος των περιοχών με φυσικά μειονεκτήματα και περιλαμβάνεται στην Ενιαία Αίτηση Εκταρικών Επιδοτήσεων του ΚΟΑΠ. Το Τμήμα Γεωργίας διεξάγει αυτή την περίοδο μελέτη με βάση τα βιοφυσικά κριτήρια (1ο στάδιο οριοθέτησης) αλλά και του </w:t>
      </w:r>
      <w:r w:rsidRPr="00686B8D">
        <w:t>Fine</w:t>
      </w:r>
      <w:r w:rsidRPr="00686B8D">
        <w:rPr>
          <w:lang w:val="el-GR"/>
        </w:rPr>
        <w:t xml:space="preserve"> </w:t>
      </w:r>
      <w:r w:rsidRPr="00686B8D">
        <w:t>Tuning</w:t>
      </w:r>
      <w:r w:rsidRPr="00686B8D">
        <w:rPr>
          <w:lang w:val="el-GR"/>
        </w:rPr>
        <w:t xml:space="preserve"> (2ο στάδιο οριοθέτησης). Το πρώτο στάδιο οριοθέτησης πραγματοποιείται για να ενταχθούν περιοχές που αντιμετωπίζουν μειονεκτήματα με βάση τα 8 βιοφυσικά κριτήρια, δεδομένου ότι σε τουλάχιστο 60% της γεωργικής έκτασης, η περιοχή κατατάσσεται ως μειονεκτική, ενώ το δεύτερο στάδιο διεξάγεται για να εξαιρεθούν οι περιοχές όπου έχουν ξεπεράσει τα προβλήματα του βιοφυσικού κριτηρίου. Η τελική μελέτη βρίσκεται σε προχωρημένο στάδιο και μέχρι την 1/1/2018 θα πρέπει να υποβληθεί στην Ευρωπαϊκή Επιτροπή για έγκριση.</w:t>
      </w:r>
      <w:r w:rsidR="00D02D57" w:rsidRPr="00D02D57">
        <w:rPr>
          <w:lang w:val="el-GR"/>
        </w:rPr>
        <w:t xml:space="preserve"> Για το 1ο στάδιο οριοθέτησης έχει ήδη ληφθεί έγκριση από το JRC. Στην παρούσα φάση ολοκληρώνεται η  μελέτη για το 2ο στάδιο οριοθέτησης.</w:t>
      </w:r>
    </w:p>
    <w:p w14:paraId="0D88C171" w14:textId="77777777" w:rsidR="00686B8D" w:rsidRPr="00686B8D" w:rsidRDefault="00686B8D" w:rsidP="00136036">
      <w:pPr>
        <w:spacing w:after="120"/>
        <w:jc w:val="both"/>
        <w:rPr>
          <w:rFonts w:eastAsia="Calibri"/>
          <w:lang w:val="el-GR"/>
        </w:rPr>
      </w:pPr>
      <w:r w:rsidRPr="00686B8D">
        <w:rPr>
          <w:lang w:val="el-GR"/>
        </w:rPr>
        <w:t>Σχετικά με την προσέγγιση «</w:t>
      </w:r>
      <w:r w:rsidRPr="00686B8D">
        <w:t>CLLD</w:t>
      </w:r>
      <w:r w:rsidRPr="00686B8D">
        <w:rPr>
          <w:lang w:val="el-GR"/>
        </w:rPr>
        <w:t xml:space="preserve">» στο πλαίσιο του ΠΑΑ </w:t>
      </w:r>
      <w:r w:rsidRPr="00686B8D">
        <w:rPr>
          <w:rFonts w:eastAsia="Calibri"/>
          <w:lang w:val="el-GR"/>
        </w:rPr>
        <w:t>η πρόσκληση για την επιλογή των Ομάδων Τοπικής Δράσης του Μέτρου 19 «Στήριξη για τοπική ανάπτυξη μέσω του LEADER» οδήγησε στην επιλογή 4 ΟΤΔ που είναι η Αναπτυξιακή Εταιρεία Επαρχιών Λάρνακας Αμμοχώστου ΛΤΔ, η Αναπτυξιακή Εταιρεία Κοινοτήτων Περιοχής Τροόδους ΛΤΔ, η Αναπτυξιακή Εταιρεία Πάφου Αφροδίτη ΛΤΔ και η Αναπτυξιακή Εταιρεία Επαρχίας Λεμεσού ΛΤΔ. Τα εγκριθέντα Προγράμματα τους έχουν ένα ανάπτυγμα δράσεων που συνοπτικά μπορεί να αποτυπωθεί όπως παρακάτω:</w:t>
      </w:r>
    </w:p>
    <w:p w14:paraId="5271C3F2" w14:textId="77777777" w:rsidR="00686B8D" w:rsidRPr="00686B8D" w:rsidRDefault="00686B8D" w:rsidP="00136036">
      <w:pPr>
        <w:numPr>
          <w:ilvl w:val="0"/>
          <w:numId w:val="25"/>
        </w:numPr>
        <w:spacing w:after="120"/>
        <w:ind w:left="540"/>
        <w:jc w:val="both"/>
        <w:rPr>
          <w:rFonts w:eastAsia="Calibri"/>
          <w:lang w:val="el-GR"/>
        </w:rPr>
      </w:pPr>
      <w:r w:rsidRPr="00686B8D">
        <w:rPr>
          <w:rFonts w:eastAsia="Calibri"/>
          <w:lang w:val="el-GR"/>
        </w:rPr>
        <w:t>Σχέδια χορηγιών αγροτουρισμού, δράσεων οικοτεχνίας και χειροτεχνίας, επισκέψιμων αγροκτημάτων και καταστημάτων λιανικής  πώλησης που σχετίζονται με γεωργικά προϊόντα, μονάδων εστίασης και αναψυχής.</w:t>
      </w:r>
    </w:p>
    <w:p w14:paraId="71770815" w14:textId="77777777" w:rsidR="00686B8D" w:rsidRPr="00686B8D" w:rsidRDefault="00686B8D" w:rsidP="00136036">
      <w:pPr>
        <w:numPr>
          <w:ilvl w:val="0"/>
          <w:numId w:val="25"/>
        </w:numPr>
        <w:spacing w:after="120"/>
        <w:ind w:left="540"/>
        <w:jc w:val="both"/>
        <w:rPr>
          <w:rFonts w:eastAsia="Calibri"/>
          <w:lang w:val="el-GR"/>
        </w:rPr>
      </w:pPr>
      <w:r w:rsidRPr="00686B8D">
        <w:rPr>
          <w:rFonts w:eastAsia="Calibri"/>
          <w:lang w:val="el-GR"/>
        </w:rPr>
        <w:t>Προώθηση, εφαρμογή και έλεγχος σήματος ποιότητας.</w:t>
      </w:r>
    </w:p>
    <w:p w14:paraId="7E7E006A" w14:textId="77777777" w:rsidR="00686B8D" w:rsidRPr="00686B8D" w:rsidRDefault="00686B8D" w:rsidP="00136036">
      <w:pPr>
        <w:numPr>
          <w:ilvl w:val="0"/>
          <w:numId w:val="25"/>
        </w:numPr>
        <w:spacing w:after="120"/>
        <w:ind w:left="540"/>
        <w:jc w:val="both"/>
        <w:rPr>
          <w:rFonts w:eastAsia="Calibri"/>
          <w:lang w:val="el-GR"/>
        </w:rPr>
      </w:pPr>
      <w:r w:rsidRPr="00686B8D">
        <w:rPr>
          <w:rFonts w:eastAsia="Calibri"/>
          <w:lang w:val="el-GR"/>
        </w:rPr>
        <w:t>Διοργάνωση πολιτιστικών εκδηλώσεων.</w:t>
      </w:r>
    </w:p>
    <w:p w14:paraId="42E2ED33" w14:textId="77777777" w:rsidR="00686B8D" w:rsidRPr="00686B8D" w:rsidRDefault="00686B8D" w:rsidP="00136036">
      <w:pPr>
        <w:numPr>
          <w:ilvl w:val="0"/>
          <w:numId w:val="25"/>
        </w:numPr>
        <w:spacing w:after="120"/>
        <w:ind w:left="540"/>
        <w:jc w:val="both"/>
        <w:rPr>
          <w:rFonts w:eastAsia="Calibri"/>
          <w:lang w:val="el-GR"/>
        </w:rPr>
      </w:pPr>
      <w:r w:rsidRPr="00686B8D">
        <w:rPr>
          <w:rFonts w:eastAsia="Calibri"/>
          <w:lang w:val="el-GR"/>
        </w:rPr>
        <w:lastRenderedPageBreak/>
        <w:t>Σχέδια εκπαίδευσης / κατάρτισης.</w:t>
      </w:r>
    </w:p>
    <w:p w14:paraId="16B29FC3" w14:textId="77777777" w:rsidR="00686B8D" w:rsidRPr="00686B8D" w:rsidRDefault="00686B8D" w:rsidP="00136036">
      <w:pPr>
        <w:numPr>
          <w:ilvl w:val="0"/>
          <w:numId w:val="25"/>
        </w:numPr>
        <w:spacing w:after="120"/>
        <w:ind w:left="540"/>
        <w:jc w:val="both"/>
        <w:rPr>
          <w:rFonts w:eastAsia="Calibri"/>
          <w:lang w:val="el-GR"/>
        </w:rPr>
      </w:pPr>
      <w:r w:rsidRPr="00686B8D">
        <w:rPr>
          <w:rFonts w:eastAsia="Calibri"/>
          <w:lang w:val="el-GR"/>
        </w:rPr>
        <w:t>Έργα δημόσιου συμφέροντος (Αναπλάσεις, Μουσεία, Πολυκέντρα κλπ)</w:t>
      </w:r>
    </w:p>
    <w:p w14:paraId="5DA7B456" w14:textId="77777777" w:rsidR="00686B8D" w:rsidRPr="00686B8D" w:rsidRDefault="00686B8D" w:rsidP="00136036">
      <w:pPr>
        <w:numPr>
          <w:ilvl w:val="0"/>
          <w:numId w:val="25"/>
        </w:numPr>
        <w:ind w:left="540"/>
        <w:jc w:val="both"/>
        <w:rPr>
          <w:rFonts w:eastAsia="Calibri"/>
          <w:lang w:val="el-GR"/>
        </w:rPr>
      </w:pPr>
      <w:r w:rsidRPr="00686B8D">
        <w:rPr>
          <w:rFonts w:eastAsia="Calibri"/>
          <w:lang w:val="el-GR"/>
        </w:rPr>
        <w:t>Έργα διατοπικής και διακρατικής Συνεργασίας.</w:t>
      </w:r>
    </w:p>
    <w:p w14:paraId="05BE1F70" w14:textId="77777777" w:rsidR="00686B8D" w:rsidRPr="00686B8D" w:rsidRDefault="00686B8D" w:rsidP="00136036">
      <w:pPr>
        <w:spacing w:after="120"/>
        <w:jc w:val="both"/>
        <w:rPr>
          <w:rFonts w:eastAsia="Calibri"/>
          <w:lang w:val="el-GR"/>
        </w:rPr>
      </w:pPr>
      <w:r w:rsidRPr="00686B8D">
        <w:rPr>
          <w:rFonts w:eastAsia="Calibri"/>
          <w:lang w:val="el-GR"/>
        </w:rPr>
        <w:t>Οι προσκλήσεις του Μέτρου 19 για το εγγύς μέλλον περιλαμβάνουν τις κάτωθι:</w:t>
      </w:r>
    </w:p>
    <w:p w14:paraId="69C8B725" w14:textId="77777777" w:rsidR="00686B8D" w:rsidRPr="00686B8D" w:rsidRDefault="00686B8D" w:rsidP="00136036">
      <w:pPr>
        <w:numPr>
          <w:ilvl w:val="0"/>
          <w:numId w:val="25"/>
        </w:numPr>
        <w:spacing w:after="120"/>
        <w:ind w:left="540"/>
        <w:jc w:val="both"/>
        <w:rPr>
          <w:rFonts w:eastAsia="Calibri"/>
          <w:lang w:val="el-GR"/>
        </w:rPr>
      </w:pPr>
      <w:r w:rsidRPr="00686B8D">
        <w:rPr>
          <w:rFonts w:eastAsia="Calibri"/>
          <w:lang w:val="el-GR"/>
        </w:rPr>
        <w:t>Δράση 19.2.1 «Δράσεις εκπαίδευσης και κατάρτισης για μη γεωργικές δραστηριότητες»</w:t>
      </w:r>
    </w:p>
    <w:p w14:paraId="5426EDC4" w14:textId="77777777" w:rsidR="00686B8D" w:rsidRPr="00686B8D" w:rsidRDefault="00686B8D" w:rsidP="00136036">
      <w:pPr>
        <w:numPr>
          <w:ilvl w:val="0"/>
          <w:numId w:val="25"/>
        </w:numPr>
        <w:spacing w:after="120"/>
        <w:ind w:left="540"/>
        <w:jc w:val="both"/>
        <w:rPr>
          <w:rFonts w:eastAsia="Calibri"/>
          <w:lang w:val="el-GR"/>
        </w:rPr>
      </w:pPr>
      <w:r w:rsidRPr="00686B8D">
        <w:rPr>
          <w:rFonts w:eastAsia="Calibri"/>
          <w:lang w:val="el-GR"/>
        </w:rPr>
        <w:t>Δράση 19.2.2 «Δράσεις Αγροτουρισμού»</w:t>
      </w:r>
    </w:p>
    <w:p w14:paraId="747C648C" w14:textId="77777777" w:rsidR="00686B8D" w:rsidRPr="00686B8D" w:rsidRDefault="00686B8D" w:rsidP="00136036">
      <w:pPr>
        <w:numPr>
          <w:ilvl w:val="0"/>
          <w:numId w:val="25"/>
        </w:numPr>
        <w:ind w:left="540"/>
        <w:jc w:val="both"/>
        <w:rPr>
          <w:rFonts w:eastAsia="Calibri"/>
          <w:lang w:val="el-GR"/>
        </w:rPr>
      </w:pPr>
      <w:r w:rsidRPr="00686B8D">
        <w:rPr>
          <w:rFonts w:eastAsia="Calibri"/>
          <w:lang w:val="el-GR"/>
        </w:rPr>
        <w:t>Δράση 19.2.3.1 «Μελέτες και δράσεις περιβαλλοντικής ευαισθητοποίησης».</w:t>
      </w:r>
    </w:p>
    <w:p w14:paraId="67284194" w14:textId="77777777" w:rsidR="00686B8D" w:rsidRPr="00686B8D" w:rsidRDefault="00686B8D" w:rsidP="00136036">
      <w:pPr>
        <w:jc w:val="both"/>
        <w:rPr>
          <w:lang w:val="el-GR"/>
        </w:rPr>
      </w:pPr>
      <w:r w:rsidRPr="00686B8D">
        <w:rPr>
          <w:lang w:val="el-GR"/>
        </w:rPr>
        <w:t xml:space="preserve">Σε ότι </w:t>
      </w:r>
      <w:r w:rsidRPr="00686B8D">
        <w:rPr>
          <w:b/>
          <w:lang w:val="el-GR"/>
        </w:rPr>
        <w:t>αφορά το ΕΤΘΑ και τη συμβολή του Ε.Π. «Θάλασσα» 2014-2020</w:t>
      </w:r>
      <w:r w:rsidRPr="00686B8D">
        <w:rPr>
          <w:lang w:val="el-GR"/>
        </w:rPr>
        <w:t xml:space="preserve"> στην προσέγγιση «</w:t>
      </w:r>
      <w:r w:rsidRPr="00686B8D">
        <w:t>CLLD</w:t>
      </w:r>
      <w:r w:rsidRPr="00686B8D">
        <w:rPr>
          <w:lang w:val="el-GR"/>
        </w:rPr>
        <w:t>», η περιορισμένη πρόοδος ήταν αναμενόμενη αφού το 2016 εγκρίθηκαν οι 3 ΤΟΔΑ και οι αντίστοιχες στρατηγικές τοπικής ανάπτυξης. Με βάση τις στρατηγικές τοπικής ανάπτυξης και οι 3 ΤΟΔΑ αναμένεται να υλοποιήσουν ενέργειες μέσω του Μέτρου 4.3 Εφαρμογή των στρατηγικών τοπικής ανάπτυξης - Σχέδια που υποστηρίζονται από ΤΟΔΑ (συμπεριλαμβανομένων δαπανών λειτουργίας και συντονισμού) - (άρθρο 63) και του Μέτρου 4.4 Δραστηριότητες συνεργασίας (άρθρο 64), οι οποίες ενέργειες θα συμβάλουν στην επίτευξη του Ειδικού Στόχου της ΠΕ4 που είναι η διατήρηση της κοινωνικής και οικονομικής ευημερίας των περιοχών αλιείας και υδατοκαλλιέργειας, η αξιοποίηση των προϊόντων αλιείας και υδατοκαλλιέργειας, και η διατήρηση και ανάπτυξη θέσεων απασχόλησης στις αλιευτικές περιοχές.</w:t>
      </w:r>
    </w:p>
    <w:p w14:paraId="0E68AFC6" w14:textId="77777777" w:rsidR="00686B8D" w:rsidRPr="00686B8D" w:rsidRDefault="00686B8D" w:rsidP="00136036">
      <w:pPr>
        <w:jc w:val="both"/>
        <w:rPr>
          <w:lang w:val="el-GR"/>
        </w:rPr>
      </w:pPr>
      <w:r w:rsidRPr="00686B8D">
        <w:rPr>
          <w:lang w:val="el-GR"/>
        </w:rPr>
        <w:t>Σε ότι αφορά το Μέτρο 4.1 για την παροχή προπαρασκευαστικής υποστήριξης, καμία ΤΟΔΑ δεν αιτήθηκε τη στήριξη αυτή, επομένως όπως φαίνεται στους χρηματοοικονομικούς πίνακες το ποσό μεταφέρθηκε στα Μέτρα 4.3 και 4.4. Αυτό έγινε γιατί οι ΤΟΔΑ αιτήθηκαν προπαρασκευαστική υποστήρι</w:t>
      </w:r>
      <w:r w:rsidR="0025474D">
        <w:rPr>
          <w:lang w:val="el-GR"/>
        </w:rPr>
        <w:t xml:space="preserve">ξη μέσω του Leader του Μέτρου </w:t>
      </w:r>
      <w:r w:rsidRPr="00686B8D">
        <w:rPr>
          <w:lang w:val="el-GR"/>
        </w:rPr>
        <w:t>19</w:t>
      </w:r>
      <w:r w:rsidR="0025474D" w:rsidRPr="0025474D">
        <w:rPr>
          <w:lang w:val="el-GR"/>
        </w:rPr>
        <w:t>.1</w:t>
      </w:r>
      <w:r w:rsidRPr="00686B8D">
        <w:rPr>
          <w:lang w:val="el-GR"/>
        </w:rPr>
        <w:t xml:space="preserve"> του Προγράμματος Αγροτικής Ανάπτυξης 2014-2020. Οι ΤΟΔΑ βασίζονται σε υφιστάμενες ΟΤΔ του Προγράμματος Leader και έχουν γίνει οι αναγκαίες προσαρμογές ώστε να πληρούν τα κριτήρια για το Ε.Π. «Θάλασσα» 2014-2020.  Συγκεκριμένα, έχουν διαφορετική σύνθεση, χωριστές επιτροπές λήψης αποφάσεων και επιλογής έργων, τήρηση ξεχωριστών βιβλίων και διαδικασιών. Η συμβολή στην επίτευξη των αντίστοιχων δεικτών αποτελέσματος της ΠΕ4 θα διαφανεί τα επόμενα έτη δεδομένου ότι μέσα στο 2017 οι ΤΟΔΑ θα προχωρήσουν σε προκηρύξεις και ακολούθως στην ένταξη και υλοποίηση έργων. </w:t>
      </w:r>
    </w:p>
    <w:p w14:paraId="612BECB6" w14:textId="77777777" w:rsidR="009F446E" w:rsidRPr="009F446E" w:rsidRDefault="009F446E" w:rsidP="00136036">
      <w:pPr>
        <w:spacing w:after="0" w:line="240" w:lineRule="auto"/>
        <w:jc w:val="both"/>
        <w:rPr>
          <w:lang w:val="el-GR"/>
        </w:rPr>
      </w:pPr>
    </w:p>
    <w:p w14:paraId="6D24DB48" w14:textId="77777777" w:rsidR="009F446E" w:rsidRPr="0040101F" w:rsidRDefault="009F446E" w:rsidP="001C18AE">
      <w:pPr>
        <w:pStyle w:val="Heading2"/>
        <w:numPr>
          <w:ilvl w:val="1"/>
          <w:numId w:val="44"/>
        </w:numPr>
        <w:tabs>
          <w:tab w:val="left" w:pos="709"/>
        </w:tabs>
        <w:ind w:left="709" w:hanging="703"/>
        <w:rPr>
          <w:rFonts w:ascii="Calibri" w:hAnsi="Calibri"/>
          <w:lang w:val="el-GR"/>
        </w:rPr>
      </w:pPr>
      <w:bookmarkStart w:id="48" w:name="_Toc483572203"/>
      <w:r w:rsidRPr="0040101F">
        <w:rPr>
          <w:rFonts w:ascii="Calibri" w:hAnsi="Calibri"/>
          <w:lang w:val="el-GR"/>
        </w:rPr>
        <w:t>Πρόοδος της υλοποίησης των δράσεων για την ενίσχυση της ικανότητας των αρχών του κράτους μέλους και των δικαιούχων να διαχειρίζονται και να χρησιμοποιούν τα Ταμεία.</w:t>
      </w:r>
      <w:bookmarkEnd w:id="48"/>
    </w:p>
    <w:p w14:paraId="39FD38D7" w14:textId="77777777" w:rsidR="00686B8D" w:rsidRPr="00686B8D" w:rsidRDefault="00686B8D" w:rsidP="00136036">
      <w:pPr>
        <w:jc w:val="both"/>
        <w:rPr>
          <w:rFonts w:cs="Calibri"/>
          <w:lang w:val="el-GR"/>
        </w:rPr>
      </w:pPr>
      <w:r w:rsidRPr="00686B8D">
        <w:rPr>
          <w:rFonts w:cs="Calibri"/>
          <w:lang w:val="el-GR"/>
        </w:rPr>
        <w:t xml:space="preserve">Στο πλαίσιο των Αξόνων Προτεραιότητας 7Α και 7Β για την </w:t>
      </w:r>
      <w:r w:rsidRPr="00686B8D">
        <w:rPr>
          <w:rFonts w:cs="Calibri"/>
          <w:lang w:val="el-GR" w:bidi="el-GR"/>
        </w:rPr>
        <w:t xml:space="preserve">Τεχνική Υποστήριξη Εφαρμογής του </w:t>
      </w:r>
      <w:r w:rsidRPr="00686B8D">
        <w:rPr>
          <w:rFonts w:cs="Calibri"/>
          <w:b/>
          <w:lang w:val="el-GR" w:bidi="el-GR"/>
        </w:rPr>
        <w:t xml:space="preserve">ΕΤΠΑ και του Ταμείου </w:t>
      </w:r>
      <w:r w:rsidRPr="00686B8D">
        <w:rPr>
          <w:b/>
          <w:lang w:val="el-GR"/>
        </w:rPr>
        <w:t>Συνοχής</w:t>
      </w:r>
      <w:r w:rsidRPr="00686B8D">
        <w:rPr>
          <w:rFonts w:cs="Calibri"/>
          <w:lang w:val="el-GR" w:bidi="el-GR"/>
        </w:rPr>
        <w:t>,</w:t>
      </w:r>
      <w:r w:rsidRPr="00686B8D">
        <w:rPr>
          <w:rFonts w:cs="Calibri"/>
          <w:lang w:val="el-GR"/>
        </w:rPr>
        <w:t xml:space="preserve"> </w:t>
      </w:r>
      <w:r w:rsidR="0025474D" w:rsidRPr="0025474D">
        <w:rPr>
          <w:rFonts w:cs="Calibri"/>
          <w:lang w:val="el-GR"/>
        </w:rPr>
        <w:t xml:space="preserve">και του Άξονα Προτεραιότητας 5 για την Τεχνική Υποστήριξη Εφαρμογής του </w:t>
      </w:r>
      <w:r w:rsidR="0025474D" w:rsidRPr="0025474D">
        <w:rPr>
          <w:rFonts w:cs="Calibri"/>
          <w:b/>
          <w:lang w:val="el-GR"/>
        </w:rPr>
        <w:t>ΕΚΤ</w:t>
      </w:r>
      <w:r w:rsidR="0025474D" w:rsidRPr="0025474D">
        <w:rPr>
          <w:rFonts w:cs="Calibri"/>
          <w:lang w:val="el-GR"/>
        </w:rPr>
        <w:t xml:space="preserve">, </w:t>
      </w:r>
      <w:r w:rsidRPr="00686B8D">
        <w:rPr>
          <w:rFonts w:cs="Calibri"/>
          <w:lang w:val="el-GR"/>
        </w:rPr>
        <w:t xml:space="preserve">επιδιώκεται η ενίσχυση και βελτίωση της διοικητικής ικανότητας που απαιτείται για την εφαρμογή του </w:t>
      </w:r>
      <w:r w:rsidRPr="00686B8D">
        <w:rPr>
          <w:b/>
          <w:lang w:val="el-GR"/>
        </w:rPr>
        <w:t>Ε.Π. «Ανταγωνιστικότητα και Αειφόρος Ανάπτυξη»</w:t>
      </w:r>
      <w:r w:rsidR="0025474D" w:rsidRPr="0025474D">
        <w:rPr>
          <w:b/>
          <w:lang w:val="el-GR"/>
        </w:rPr>
        <w:t xml:space="preserve"> </w:t>
      </w:r>
      <w:r w:rsidR="0025474D" w:rsidRPr="0025474D">
        <w:rPr>
          <w:lang w:val="el-GR"/>
        </w:rPr>
        <w:t>και του</w:t>
      </w:r>
      <w:r w:rsidR="0025474D">
        <w:rPr>
          <w:b/>
          <w:lang w:val="el-GR"/>
        </w:rPr>
        <w:t xml:space="preserve"> Ε.Π. «Απασχόληση, Ανθρώπινοι Πόροι και Κοινωνική Συνοχή¨»</w:t>
      </w:r>
      <w:r w:rsidRPr="00686B8D">
        <w:rPr>
          <w:rFonts w:cs="Calibri"/>
          <w:lang w:val="el-GR"/>
        </w:rPr>
        <w:t xml:space="preserve">, με κύριο γνώμονα τη μέγιστη δυνατή αξιοποίηση των πόρων που διατίθενται στο πλαίσιο της Πολιτικής Συνοχής 2014-2020. Για το σκοπό αυτό, προβλέπεται η υλοποίηση παρεμβάσεων, μέσω των οποίων υποστηρίζεται η στελέχωση της Διαχειριστικής Αρχής και των υπόλοιπων φορέων με </w:t>
      </w:r>
      <w:r w:rsidRPr="00686B8D">
        <w:rPr>
          <w:rFonts w:cs="Calibri"/>
          <w:lang w:val="el-GR"/>
        </w:rPr>
        <w:lastRenderedPageBreak/>
        <w:t>κατάλληλο και υψηλών προσόντων προσωπικό, ικανό να ανταπεξέλθει στις ανάγκες της υλοποίησης, της παρακολούθησης, της ενημέρωσης και της επικοινωνίας, της επαλήθευσης, των ελέγχων και της αξιολόγησης των ΕΠ, καθώς και παρεμβάσεις που αφορούν στην εκπαίδευση των στελεχών σε αντικεί</w:t>
      </w:r>
      <w:r w:rsidR="00131ECB">
        <w:rPr>
          <w:rFonts w:cs="Calibri"/>
          <w:lang w:val="el-GR"/>
        </w:rPr>
        <w:t>μενα σχετικά με την εφαρμογή των</w:t>
      </w:r>
      <w:r w:rsidRPr="00686B8D">
        <w:rPr>
          <w:rFonts w:cs="Calibri"/>
          <w:lang w:val="el-GR"/>
        </w:rPr>
        <w:t xml:space="preserve"> ΕΠ. Επίσης, σε ό,τι αφορά στους δικαιούχους, προβλέπεται η ενίσχυση της διαχειριστικής τους επάρκειας, ώστε να ανταποκρίνονται στις απαιτήσεις διαχείρισης και υλοποίησης των έργων που αναλαμβάνουν, μέσω κατάλληλων δράσεων ενίσχυσης της διοικητικής ικανότητας ανά κατηγορία Δικαιούχων ή οριζόντια. </w:t>
      </w:r>
    </w:p>
    <w:p w14:paraId="427A684C" w14:textId="77777777" w:rsidR="00686B8D" w:rsidRPr="00686B8D" w:rsidRDefault="00686B8D" w:rsidP="00136036">
      <w:pPr>
        <w:jc w:val="both"/>
        <w:rPr>
          <w:rFonts w:cs="Calibri"/>
          <w:lang w:val="el-GR"/>
        </w:rPr>
      </w:pPr>
      <w:r w:rsidRPr="00686B8D">
        <w:rPr>
          <w:rFonts w:cs="Calibri"/>
          <w:lang w:val="el-GR"/>
        </w:rPr>
        <w:t xml:space="preserve">Το Δεκέμβριο 2016 εγκρίθηκε από την Επιτροπή Παρακολούθησης </w:t>
      </w:r>
      <w:r w:rsidR="00131ECB">
        <w:rPr>
          <w:rFonts w:cs="Calibri"/>
          <w:lang w:val="el-GR"/>
        </w:rPr>
        <w:t xml:space="preserve">κοινό </w:t>
      </w:r>
      <w:r w:rsidRPr="00686B8D">
        <w:rPr>
          <w:rFonts w:cs="Calibri"/>
          <w:lang w:val="el-GR"/>
        </w:rPr>
        <w:t>Σχέδιο Δράσης Τεχνικής Βοήθειας</w:t>
      </w:r>
      <w:r w:rsidR="00131ECB">
        <w:rPr>
          <w:rFonts w:cs="Calibri"/>
          <w:lang w:val="el-GR"/>
        </w:rPr>
        <w:t xml:space="preserve"> για τα δύο Ε.Π.</w:t>
      </w:r>
      <w:r w:rsidRPr="00686B8D">
        <w:rPr>
          <w:rFonts w:cs="Calibri"/>
          <w:lang w:val="el-GR"/>
        </w:rPr>
        <w:t xml:space="preserve">, το οποίο έχει ως σκοπό την ομαδοποίηση των επιλέξιμων δράσεων Τεχνικής Βοηθείας, καθώς και την εξειδίκευση και οριοθέτηση των βασικών κατηγοριών δαπανών που περιλαμβάνονται σε αυτές. Το Σχέδιο Δράσης περιλαμβάνει, επίσης, τον προϋπολογισμό για τη χρονική περίοδο εφαρμογής των ΕΠ κατά ενότητα δράσεων και φορέα για το κάθε Ταμείο, καθώς και τη διαδικασία που θα πρέπει να ακολουθείται από τους αρμόδιους φορείς για την ένταξη των έργων Τεχνικής Βοήθειας στα ΕΠ. </w:t>
      </w:r>
    </w:p>
    <w:p w14:paraId="6CFFFD6E" w14:textId="77777777" w:rsidR="00686B8D" w:rsidRPr="00686B8D" w:rsidRDefault="00686B8D" w:rsidP="00136036">
      <w:pPr>
        <w:jc w:val="both"/>
        <w:rPr>
          <w:rFonts w:cs="Calibri"/>
          <w:lang w:val="el-GR"/>
        </w:rPr>
      </w:pPr>
      <w:r w:rsidRPr="00686B8D">
        <w:rPr>
          <w:rFonts w:cs="Calibri"/>
          <w:lang w:val="el-GR"/>
        </w:rPr>
        <w:t>Βάσει του Σχεδίου Δρά</w:t>
      </w:r>
      <w:r w:rsidR="00131ECB">
        <w:rPr>
          <w:rFonts w:cs="Calibri"/>
          <w:lang w:val="el-GR"/>
        </w:rPr>
        <w:t>σης, αναμένεται να ενταχθούν στα</w:t>
      </w:r>
      <w:r w:rsidRPr="00686B8D">
        <w:rPr>
          <w:rFonts w:cs="Calibri"/>
          <w:lang w:val="el-GR"/>
        </w:rPr>
        <w:t xml:space="preserve"> ΕΠ έργα Τεχνικής Βοήθειας από το 2017 και μετά. Ωστόσο, με την εκ των προτέρων έγκριση της Διαχειριστικής Αρχής, η υλοποίηση έργων Τεχνικής Βοήθειας είχε αρχίσει από το 2015 και συνεχίστηκε και το 2016. Τα έργα αυτά αφορούν στην υποστήριξη της διαχείρισης</w:t>
      </w:r>
      <w:r w:rsidR="00131ECB">
        <w:rPr>
          <w:rFonts w:cs="Calibri"/>
          <w:lang w:val="el-GR"/>
        </w:rPr>
        <w:t xml:space="preserve"> και παρακολούθησης των</w:t>
      </w:r>
      <w:r w:rsidRPr="00686B8D">
        <w:rPr>
          <w:rFonts w:cs="Calibri"/>
          <w:lang w:val="el-GR"/>
        </w:rPr>
        <w:t xml:space="preserve"> ΕΠ, όπως η ανάπτυξη και λειτουργία του ΟΠΣ, η διενέργεια δράσεων αξιολόγησης, πληροφόρησης και επικοινωνίας, η διοργάνωση εργασιών και τεχνικών συναντήσεων με την ΕΕ, καθώς και άλλων τεχνικών συσκέψεων για την παρακολούθηση των ΕΠ, και η συμμετοχή σε επιτροπές και ομάδες εργασίας. </w:t>
      </w:r>
    </w:p>
    <w:p w14:paraId="33AA4C4A" w14:textId="77777777" w:rsidR="00686B8D" w:rsidRPr="00686B8D" w:rsidRDefault="00686B8D" w:rsidP="00136036">
      <w:pPr>
        <w:jc w:val="both"/>
        <w:rPr>
          <w:rFonts w:cs="Calibri"/>
          <w:lang w:val="el-GR"/>
        </w:rPr>
      </w:pPr>
      <w:r w:rsidRPr="00686B8D">
        <w:rPr>
          <w:rFonts w:cs="Calibri"/>
          <w:lang w:val="el-GR"/>
        </w:rPr>
        <w:t>Ειδικότερα, το 2016 πραγματοποιήθηκαν εκπαιδευτικά σεμινάρια για το ΟΠΣ, με τη συμμετοχή Ενδιάμεσων Φορέων, Δικαιούχων και λειτουργών της ΔΑ. Επίσης, λειτουργοί της ΔΑ συμμετείχαν σε σεμινάρια και εκπαιδεύσεις στο εξωτερικό σχετικά με την Πολιτική Συνοχής, τη λειτουργία των ΕΔΕΤ, την ΠΑΝ κ.ά. Τέλος, δράσεις Τεχνικής Βοήθειας υλοποιήθηκαν και από τους Ενδιάμεσους Φορείς, που αφορούσαν κυρίως μισθούς, συμμετοχή σε σεμινάρια, αγορά υπηρεσιών συμβούλων/εμπειρογνωμόνων και ελεγκτών, καθώς και ανάπτυξη πληροφοριακών συστημάτων φορέων διαχείρισης Σχεδίων Χορηγιών.</w:t>
      </w:r>
    </w:p>
    <w:p w14:paraId="273D78F1" w14:textId="77777777" w:rsidR="009F446E" w:rsidRPr="009F446E" w:rsidRDefault="009F446E" w:rsidP="00136036">
      <w:pPr>
        <w:spacing w:after="0" w:line="240" w:lineRule="auto"/>
        <w:jc w:val="both"/>
        <w:rPr>
          <w:b/>
          <w:highlight w:val="yellow"/>
          <w:lang w:val="el-GR"/>
        </w:rPr>
      </w:pPr>
    </w:p>
    <w:p w14:paraId="7C558904" w14:textId="77777777" w:rsidR="009F446E" w:rsidRPr="0040101F" w:rsidRDefault="009F446E" w:rsidP="001C18AE">
      <w:pPr>
        <w:pStyle w:val="Heading2"/>
        <w:numPr>
          <w:ilvl w:val="1"/>
          <w:numId w:val="44"/>
        </w:numPr>
        <w:tabs>
          <w:tab w:val="left" w:pos="709"/>
        </w:tabs>
        <w:ind w:left="709" w:hanging="703"/>
        <w:rPr>
          <w:rFonts w:ascii="Calibri" w:hAnsi="Calibri"/>
          <w:lang w:val="el-GR"/>
        </w:rPr>
      </w:pPr>
      <w:bookmarkStart w:id="49" w:name="_Toc483572204"/>
      <w:r w:rsidRPr="0040101F">
        <w:rPr>
          <w:rFonts w:ascii="Calibri" w:hAnsi="Calibri"/>
          <w:lang w:val="el-GR"/>
        </w:rPr>
        <w:t>Πρόοδος της εφαρμογής διαπεριφερειακών και διακρατικών δράσεων.</w:t>
      </w:r>
      <w:bookmarkEnd w:id="49"/>
    </w:p>
    <w:p w14:paraId="78766BFD" w14:textId="77777777" w:rsidR="00686B8D" w:rsidRPr="00686B8D" w:rsidRDefault="00686B8D" w:rsidP="00686B8D">
      <w:pPr>
        <w:jc w:val="both"/>
        <w:rPr>
          <w:rFonts w:cs="Calibri"/>
          <w:lang w:val="el-GR"/>
        </w:rPr>
      </w:pPr>
      <w:r w:rsidRPr="00686B8D">
        <w:rPr>
          <w:lang w:val="el-GR"/>
        </w:rPr>
        <w:t xml:space="preserve">Στο πλαίσιο </w:t>
      </w:r>
      <w:r w:rsidR="00131ECB">
        <w:rPr>
          <w:lang w:val="el-GR"/>
        </w:rPr>
        <w:t xml:space="preserve">τόσο </w:t>
      </w:r>
      <w:r w:rsidRPr="00686B8D">
        <w:rPr>
          <w:lang w:val="el-GR"/>
        </w:rPr>
        <w:t xml:space="preserve">του </w:t>
      </w:r>
      <w:r w:rsidRPr="00686B8D">
        <w:rPr>
          <w:b/>
          <w:lang w:val="el-GR"/>
        </w:rPr>
        <w:t>Ε.Π. «Ανταγωνιστικότητα και Αειφόρος Ανάπτυξη»</w:t>
      </w:r>
      <w:r w:rsidRPr="00686B8D">
        <w:rPr>
          <w:lang w:val="el-GR"/>
        </w:rPr>
        <w:t xml:space="preserve"> </w:t>
      </w:r>
      <w:r w:rsidR="00131ECB" w:rsidRPr="00131ECB">
        <w:rPr>
          <w:lang w:val="el-GR"/>
        </w:rPr>
        <w:t xml:space="preserve">όσο και του </w:t>
      </w:r>
      <w:r w:rsidR="00131ECB" w:rsidRPr="00131ECB">
        <w:rPr>
          <w:b/>
          <w:lang w:val="el-GR"/>
        </w:rPr>
        <w:t>Ε.Π. «Απασχόληση, Ανθρώπινοι Πόροι και Κοινωνική Συνοχή»</w:t>
      </w:r>
      <w:r w:rsidR="00131ECB" w:rsidRPr="00131ECB">
        <w:rPr>
          <w:lang w:val="el-GR"/>
        </w:rPr>
        <w:t xml:space="preserve"> </w:t>
      </w:r>
      <w:r w:rsidRPr="00686B8D">
        <w:rPr>
          <w:rFonts w:cs="Calibri"/>
          <w:lang w:val="el-GR"/>
        </w:rPr>
        <w:t>δεν προβλέπεται η εφαρμογή διαπεριφερειακών ή/και διακρατικών δράσεων.</w:t>
      </w:r>
    </w:p>
    <w:p w14:paraId="7219CDC1" w14:textId="77777777" w:rsidR="00686B8D" w:rsidRPr="00686B8D" w:rsidRDefault="00686B8D" w:rsidP="00686B8D">
      <w:pPr>
        <w:jc w:val="both"/>
        <w:rPr>
          <w:rFonts w:cs="Calibri"/>
          <w:lang w:val="el-GR"/>
        </w:rPr>
      </w:pPr>
      <w:r w:rsidRPr="00686B8D">
        <w:rPr>
          <w:rFonts w:cs="Calibri"/>
          <w:lang w:val="el-GR"/>
        </w:rPr>
        <w:t xml:space="preserve">Αντίθετα, στο </w:t>
      </w:r>
      <w:r w:rsidRPr="00686B8D">
        <w:rPr>
          <w:b/>
          <w:lang w:val="el-GR"/>
        </w:rPr>
        <w:t>πλαίσιο</w:t>
      </w:r>
      <w:r w:rsidRPr="00686B8D">
        <w:rPr>
          <w:rFonts w:cs="Calibri"/>
          <w:lang w:val="el-GR"/>
        </w:rPr>
        <w:t xml:space="preserve"> </w:t>
      </w:r>
      <w:r w:rsidRPr="00686B8D">
        <w:rPr>
          <w:rFonts w:cs="Calibri"/>
          <w:b/>
          <w:lang w:val="el-GR"/>
        </w:rPr>
        <w:t xml:space="preserve">του </w:t>
      </w:r>
      <w:r w:rsidR="009539E7">
        <w:rPr>
          <w:rFonts w:cs="Calibri"/>
          <w:b/>
          <w:lang w:val="el-GR"/>
        </w:rPr>
        <w:t xml:space="preserve">ΠΑΑ και </w:t>
      </w:r>
      <w:r w:rsidRPr="00686B8D">
        <w:rPr>
          <w:rFonts w:cs="Calibri"/>
          <w:b/>
          <w:lang w:val="el-GR"/>
        </w:rPr>
        <w:t>του Ε.Π. «Θάλασσα» και ειδικότερα στο πλαίσιο της προσέγγισης «</w:t>
      </w:r>
      <w:r w:rsidRPr="00686B8D">
        <w:rPr>
          <w:rFonts w:cs="Calibri"/>
          <w:b/>
        </w:rPr>
        <w:t>CLLD</w:t>
      </w:r>
      <w:r w:rsidRPr="00686B8D">
        <w:rPr>
          <w:rFonts w:cs="Calibri"/>
          <w:b/>
          <w:lang w:val="el-GR"/>
        </w:rPr>
        <w:t xml:space="preserve">» προβλέπεται μέσω </w:t>
      </w:r>
      <w:r w:rsidR="009539E7">
        <w:rPr>
          <w:rFonts w:cs="Calibri"/>
          <w:b/>
          <w:lang w:val="el-GR"/>
        </w:rPr>
        <w:t>των</w:t>
      </w:r>
      <w:r w:rsidRPr="00686B8D">
        <w:rPr>
          <w:rFonts w:cs="Calibri"/>
          <w:b/>
          <w:lang w:val="el-GR"/>
        </w:rPr>
        <w:t xml:space="preserve"> Μ</w:t>
      </w:r>
      <w:r w:rsidR="009539E7">
        <w:rPr>
          <w:rFonts w:cs="Calibri"/>
          <w:b/>
          <w:lang w:val="el-GR"/>
        </w:rPr>
        <w:t>έτρων 19.3 και</w:t>
      </w:r>
      <w:r w:rsidRPr="00686B8D">
        <w:rPr>
          <w:rFonts w:cs="Calibri"/>
          <w:b/>
          <w:lang w:val="el-GR"/>
        </w:rPr>
        <w:t xml:space="preserve"> 4.4. </w:t>
      </w:r>
      <w:r w:rsidR="009539E7">
        <w:rPr>
          <w:rFonts w:cs="Calibri"/>
          <w:b/>
          <w:lang w:val="el-GR"/>
        </w:rPr>
        <w:t xml:space="preserve">αντίστοιχα </w:t>
      </w:r>
      <w:r w:rsidRPr="00686B8D">
        <w:rPr>
          <w:rFonts w:cs="Calibri"/>
          <w:b/>
          <w:lang w:val="el-GR"/>
        </w:rPr>
        <w:t>η υλοποίηση έργων διαπεριφερειακής και διακρατικής συνεργασίας</w:t>
      </w:r>
      <w:r w:rsidRPr="00686B8D">
        <w:rPr>
          <w:rFonts w:cs="Calibri"/>
          <w:lang w:val="el-GR"/>
        </w:rPr>
        <w:t xml:space="preserve">. Στόχος </w:t>
      </w:r>
      <w:r w:rsidR="009539E7">
        <w:rPr>
          <w:rFonts w:cs="Calibri"/>
          <w:lang w:val="el-GR"/>
        </w:rPr>
        <w:t>των παρεμβάσεων</w:t>
      </w:r>
      <w:r w:rsidRPr="00686B8D">
        <w:rPr>
          <w:rFonts w:cs="Calibri"/>
          <w:lang w:val="el-GR"/>
        </w:rPr>
        <w:t xml:space="preserve"> είναι η χρηματοδότηση της προετοιμασίας και υλοποίησης δραστηριοτήτων συνεργασίας, που περιλαμβάνουν την υλοποίηση έργων διαπεριφερειακής ή διακρατικής συνεργασίας, καθώς και την προπαρασκευαστική τεχνική στήριξη για τα έργα αυτά.</w:t>
      </w:r>
      <w:r w:rsidR="00131ECB">
        <w:rPr>
          <w:lang w:val="el-GR"/>
        </w:rPr>
        <w:t xml:space="preserve"> </w:t>
      </w:r>
      <w:r w:rsidRPr="00686B8D">
        <w:rPr>
          <w:rFonts w:cs="Calibri"/>
          <w:lang w:val="el-GR"/>
        </w:rPr>
        <w:t xml:space="preserve"> Τα έργα διαπεριφερειακής και διακρατικής συνεργασίας επιλέγονται από τις TΟΔΑ και οι συγκεκριμένες προτάσεις, υποβάλλονται μαζί με την υποβολή της στρατηγικής τοπικής ανάπτυξης. Επίσης, </w:t>
      </w:r>
      <w:r w:rsidRPr="00686B8D">
        <w:rPr>
          <w:rFonts w:cs="Calibri"/>
          <w:lang w:val="el-GR"/>
        </w:rPr>
        <w:lastRenderedPageBreak/>
        <w:t>χρηματοδοτείται η προπαρασκευαστική τεχνική στήριξη για έργα διαπεριφερειακής και διακρατικής συνεργασίας, υπό την προϋπόθεση ότι οι ΤΟΔΑ αποδεικνύουν ότι προετοιμάζουν την υλοποίηση ενός έργου.</w:t>
      </w:r>
    </w:p>
    <w:p w14:paraId="62F76743" w14:textId="77777777" w:rsidR="00686B8D" w:rsidRPr="00686B8D" w:rsidRDefault="00686B8D" w:rsidP="00686B8D">
      <w:pPr>
        <w:jc w:val="both"/>
        <w:rPr>
          <w:rFonts w:cs="Calibri"/>
          <w:lang w:val="el-GR"/>
        </w:rPr>
      </w:pPr>
      <w:r w:rsidRPr="00686B8D">
        <w:rPr>
          <w:rFonts w:cs="Calibri"/>
          <w:lang w:val="el-GR"/>
        </w:rPr>
        <w:t>Επιπλέον, στο πλαίσιο της ετοιμασίας του Εθνικού Σχεδίου Δράσης για την Ο</w:t>
      </w:r>
      <w:r w:rsidR="00131ECB">
        <w:rPr>
          <w:rFonts w:cs="Calibri"/>
          <w:lang w:val="el-GR"/>
        </w:rPr>
        <w:t xml:space="preserve">λοκληρωμένη </w:t>
      </w:r>
      <w:r w:rsidRPr="00686B8D">
        <w:rPr>
          <w:rFonts w:cs="Calibri"/>
          <w:lang w:val="el-GR"/>
        </w:rPr>
        <w:t>Θ</w:t>
      </w:r>
      <w:r w:rsidR="00131ECB">
        <w:rPr>
          <w:rFonts w:cs="Calibri"/>
          <w:lang w:val="el-GR"/>
        </w:rPr>
        <w:t xml:space="preserve">αλάσσια </w:t>
      </w:r>
      <w:r w:rsidRPr="00686B8D">
        <w:rPr>
          <w:rFonts w:cs="Calibri"/>
          <w:lang w:val="el-GR"/>
        </w:rPr>
        <w:t>Π</w:t>
      </w:r>
      <w:r w:rsidR="00131ECB">
        <w:rPr>
          <w:rFonts w:cs="Calibri"/>
          <w:lang w:val="el-GR"/>
        </w:rPr>
        <w:t>ολιτική (ΟΘΠ)</w:t>
      </w:r>
      <w:r w:rsidRPr="00686B8D">
        <w:rPr>
          <w:rFonts w:cs="Calibri"/>
          <w:lang w:val="el-GR"/>
        </w:rPr>
        <w:t xml:space="preserve">, έχει δημιουργηθεί υποομάδα για τη θαλάσσια εποπτεία που θα διερευνήσει τις οποιεσδήποτε συνέργιες/συνεργασίες σε ότι αφορά έργα που  θα υλοποιηθούν κατά την περίοδο 2014-2020, </w:t>
      </w:r>
      <w:r w:rsidRPr="00686B8D">
        <w:rPr>
          <w:rFonts w:cs="Calibri"/>
          <w:b/>
          <w:lang w:val="el-GR"/>
        </w:rPr>
        <w:t>συμπεριλαμβανομένου του ΕΤΘΑ</w:t>
      </w:r>
      <w:r w:rsidRPr="00686B8D">
        <w:rPr>
          <w:rFonts w:cs="Calibri"/>
          <w:lang w:val="el-GR"/>
        </w:rPr>
        <w:t xml:space="preserve">, του </w:t>
      </w:r>
      <w:r w:rsidRPr="00686B8D">
        <w:rPr>
          <w:rFonts w:cs="Calibri"/>
        </w:rPr>
        <w:t>ISF</w:t>
      </w:r>
      <w:r w:rsidRPr="00686B8D">
        <w:rPr>
          <w:rFonts w:cs="Calibri"/>
          <w:lang w:val="el-GR"/>
        </w:rPr>
        <w:t xml:space="preserve"> </w:t>
      </w:r>
      <w:r w:rsidRPr="00686B8D">
        <w:rPr>
          <w:rFonts w:cs="Calibri"/>
          <w:b/>
          <w:lang w:val="el-GR"/>
        </w:rPr>
        <w:t>καθώς και έργων διακρατικής συνεργασίας</w:t>
      </w:r>
      <w:r w:rsidRPr="00686B8D">
        <w:rPr>
          <w:rFonts w:cs="Calibri"/>
          <w:lang w:val="el-GR"/>
        </w:rPr>
        <w:t xml:space="preserve">. Μεταξύ άλλων σε αυτή λαμβάνουν μέρος το ΤΑΘΕ, το ΤΕΝ που έχει την αρμοδιότητα για το </w:t>
      </w:r>
      <w:r w:rsidRPr="00686B8D">
        <w:rPr>
          <w:rFonts w:cs="Calibri"/>
        </w:rPr>
        <w:t>VTMIS</w:t>
      </w:r>
      <w:r w:rsidRPr="00686B8D">
        <w:rPr>
          <w:rFonts w:cs="Calibri"/>
          <w:lang w:val="el-GR"/>
        </w:rPr>
        <w:t xml:space="preserve"> (</w:t>
      </w:r>
      <w:r w:rsidRPr="00686B8D">
        <w:rPr>
          <w:rFonts w:cs="Calibri"/>
        </w:rPr>
        <w:t>Vessel</w:t>
      </w:r>
      <w:r w:rsidRPr="00686B8D">
        <w:rPr>
          <w:rFonts w:cs="Calibri"/>
          <w:lang w:val="el-GR"/>
        </w:rPr>
        <w:t xml:space="preserve"> </w:t>
      </w:r>
      <w:r w:rsidRPr="00686B8D">
        <w:rPr>
          <w:rFonts w:cs="Calibri"/>
        </w:rPr>
        <w:t>Traffic</w:t>
      </w:r>
      <w:r w:rsidRPr="00686B8D">
        <w:rPr>
          <w:rFonts w:cs="Calibri"/>
          <w:lang w:val="el-GR"/>
        </w:rPr>
        <w:t xml:space="preserve"> </w:t>
      </w:r>
      <w:r w:rsidRPr="00686B8D">
        <w:rPr>
          <w:rFonts w:cs="Calibri"/>
        </w:rPr>
        <w:t>Information</w:t>
      </w:r>
      <w:r w:rsidRPr="00686B8D">
        <w:rPr>
          <w:rFonts w:cs="Calibri"/>
          <w:lang w:val="el-GR"/>
        </w:rPr>
        <w:t xml:space="preserve"> </w:t>
      </w:r>
      <w:r w:rsidRPr="00686B8D">
        <w:rPr>
          <w:rFonts w:cs="Calibri"/>
        </w:rPr>
        <w:t>System</w:t>
      </w:r>
      <w:r w:rsidRPr="00686B8D">
        <w:rPr>
          <w:rFonts w:cs="Calibri"/>
          <w:lang w:val="el-GR"/>
        </w:rPr>
        <w:t>), η Λιμενική και Ναυτική Αστυνομία, το Κέντρο Έρευνας και Διάσωσης του Υπουργείου Άμυνας, το Τμήμα τελωνείου και οι Λιμενικές Αρχές.</w:t>
      </w:r>
    </w:p>
    <w:p w14:paraId="484162CF" w14:textId="77777777" w:rsidR="00686B8D" w:rsidRPr="00D71449" w:rsidRDefault="00686B8D" w:rsidP="00686B8D">
      <w:pPr>
        <w:jc w:val="both"/>
        <w:rPr>
          <w:lang w:val="el-GR"/>
        </w:rPr>
      </w:pPr>
      <w:r w:rsidRPr="00686B8D">
        <w:rPr>
          <w:rFonts w:cs="Calibri"/>
          <w:lang w:val="el-GR"/>
        </w:rPr>
        <w:t xml:space="preserve">Τέλος, </w:t>
      </w:r>
      <w:r w:rsidRPr="00686B8D">
        <w:rPr>
          <w:lang w:val="el-GR"/>
        </w:rPr>
        <w:t xml:space="preserve">η </w:t>
      </w:r>
      <w:r w:rsidRPr="00686B8D">
        <w:rPr>
          <w:b/>
          <w:lang w:val="el-GR"/>
        </w:rPr>
        <w:t>Σύμβαση της Βαρκελώνης</w:t>
      </w:r>
      <w:r w:rsidRPr="00686B8D">
        <w:rPr>
          <w:lang w:val="el-GR"/>
        </w:rPr>
        <w:t xml:space="preserve"> –συμβαλλόμενο Μέρος της οποίας είναι και η Κύπρος-, μέσω της Οικοσυστημικής προσέγγισης, είναι σε μεγάλο βαθμό εναρμονισμένη με την Οδηγία Πλαίσιο για τη Θαλάσσια Στρατηγική (2008/56/ΕΚ), η οποία με τη σειρά της προωθεί και ενισχύει τη σύμβαση και τη συνεργασία μεταξύ των οκτώ κρατών της ΕΕ και 14 άλλων Μεσογειακών παράκτιων χωρών. Σε αυτό το πλαίσιο πολλές από τις δράσεις που προωθούνται μέσα από το Ε.Π. «Θάλασσα» 2014-2020 εξυπηρετούν ταυτόχρονα την επίτευξη των στόχων της ΟΠΘΣ. Τέτοιες δράσεις είναι για παράδειγμα οι έρευνες βαθέων οικοσυστημάτων, η χαρτογράφηση του οικότοπου προτεραιότητας λιβάδια </w:t>
      </w:r>
      <w:r w:rsidRPr="00AE4778">
        <w:rPr>
          <w:i/>
        </w:rPr>
        <w:t>P</w:t>
      </w:r>
      <w:r w:rsidRPr="00AE4778">
        <w:rPr>
          <w:i/>
          <w:lang w:val="el-GR"/>
        </w:rPr>
        <w:t xml:space="preserve">. </w:t>
      </w:r>
      <w:r w:rsidRPr="00AE4778">
        <w:rPr>
          <w:i/>
        </w:rPr>
        <w:t>oceanica</w:t>
      </w:r>
      <w:r w:rsidRPr="00686B8D">
        <w:rPr>
          <w:lang w:val="el-GR"/>
        </w:rPr>
        <w:t>, η μελέτη και η παρακολούθηση ξενικών ειδών, η καταγραφή και αξιολόγηση του πληθυσμού των κητωδών, η μελέτη των τροφικών πλεγμάτων, τα προγράμματα παρακολούθησης των θαλάσσιων υδάτων της Κύπρου κλπ.</w:t>
      </w:r>
    </w:p>
    <w:p w14:paraId="0F788781" w14:textId="77777777" w:rsidR="009F446E" w:rsidRPr="009F446E" w:rsidRDefault="009F446E" w:rsidP="00136036">
      <w:pPr>
        <w:spacing w:after="0" w:line="240" w:lineRule="auto"/>
        <w:jc w:val="both"/>
        <w:rPr>
          <w:lang w:val="el-GR"/>
        </w:rPr>
      </w:pPr>
    </w:p>
    <w:p w14:paraId="1DF30D59" w14:textId="77777777" w:rsidR="009F446E" w:rsidRPr="0040101F" w:rsidRDefault="009F446E" w:rsidP="001C18AE">
      <w:pPr>
        <w:pStyle w:val="Heading2"/>
        <w:numPr>
          <w:ilvl w:val="1"/>
          <w:numId w:val="44"/>
        </w:numPr>
        <w:tabs>
          <w:tab w:val="left" w:pos="709"/>
        </w:tabs>
        <w:ind w:left="709" w:hanging="703"/>
        <w:rPr>
          <w:rFonts w:ascii="Calibri" w:hAnsi="Calibri"/>
          <w:lang w:val="el-GR"/>
        </w:rPr>
      </w:pPr>
      <w:bookmarkStart w:id="50" w:name="_Toc483572205"/>
      <w:r w:rsidRPr="0040101F">
        <w:rPr>
          <w:rFonts w:ascii="Calibri" w:hAnsi="Calibri"/>
          <w:lang w:val="el-GR"/>
        </w:rPr>
        <w:t>Πρόοδος της εφαρμογής των μέτρων για την αντιμετώπιση ειδικών αναγκών των γεωγραφικών περιοχών που πλήττονται περισσότερο από τη φτώχεια ή στοχευόμενων ομάδων που αντιμετωπίζουν τον υψηλότερο κίνδυνο φτώχειας, διακρίσεων ή κοινωνικού αποκλεισμού, με ειδική μέριμνα για τις περιθωριοποιημένες κοινότητες και τα άτομα με αναπηρίες, τους μακροχρόνια ανέργους και τους νέους χωρίς επαγγελματική δραστηριότητα, συμπεριλαμβανομένων, κατά περίπτωση, των χρησιμοποιούμενων χρηματοδοτικών πόρων.</w:t>
      </w:r>
      <w:bookmarkEnd w:id="50"/>
    </w:p>
    <w:p w14:paraId="1053CCA0" w14:textId="77777777" w:rsidR="00686B8D" w:rsidRPr="00686B8D" w:rsidRDefault="00686B8D" w:rsidP="00686B8D">
      <w:pPr>
        <w:jc w:val="both"/>
        <w:rPr>
          <w:lang w:val="el-GR"/>
        </w:rPr>
      </w:pPr>
      <w:r w:rsidRPr="00686B8D">
        <w:rPr>
          <w:lang w:val="el-GR"/>
        </w:rPr>
        <w:t xml:space="preserve">Η ικανοποίηση των αναπτυξιακών αναγκών της χώρας που σχετίζονται με την ενίσχυση της κοινωνικής συνοχής και της ενεργούς ένταξης ευπαθών ομάδων του πληθυσμού, περνά μέσα από μέτρα που έχουν σχεδιαστεί στο πλαίσιο του Ε.Π. «Απασχόληση, Ανθρώπινοι Πόροι και Κοινωνική Συνοχή» και λαμβάνουν τη στήριξη του </w:t>
      </w:r>
      <w:r w:rsidRPr="00686B8D">
        <w:rPr>
          <w:b/>
          <w:bCs/>
          <w:lang w:val="el-GR"/>
        </w:rPr>
        <w:t>ΕΚΤ</w:t>
      </w:r>
      <w:r w:rsidRPr="00686B8D">
        <w:rPr>
          <w:lang w:val="el-GR"/>
        </w:rPr>
        <w:t xml:space="preserve">, εφαρμόζονται δε σε Παγκύπριο επίπεδο. Από τα μέτρα που έχουν σχεδιαστεί, είχαν ενεργοποιηθεί έως το τέλος του 2016 με ορίζοντα υλοποίησης το 2017 Σχέδια Παροχής Κινήτρων για πρόσληψη ειδικών ομάδων πληθυσμού και συγκεκριμένα </w:t>
      </w:r>
      <w:r w:rsidRPr="00686B8D">
        <w:rPr>
          <w:b/>
          <w:bCs/>
          <w:lang w:val="el-GR"/>
        </w:rPr>
        <w:t>ατόμων με χρόνιες παθήσεις,</w:t>
      </w:r>
      <w:r w:rsidRPr="00686B8D">
        <w:rPr>
          <w:lang w:val="el-GR"/>
        </w:rPr>
        <w:t xml:space="preserve"> </w:t>
      </w:r>
      <w:r w:rsidRPr="00686B8D">
        <w:rPr>
          <w:b/>
          <w:bCs/>
          <w:lang w:val="el-GR"/>
        </w:rPr>
        <w:t>ατόμων με αναπηρία</w:t>
      </w:r>
      <w:r w:rsidRPr="00686B8D">
        <w:rPr>
          <w:lang w:val="el-GR"/>
        </w:rPr>
        <w:t xml:space="preserve"> και </w:t>
      </w:r>
      <w:r w:rsidRPr="00686B8D">
        <w:rPr>
          <w:b/>
          <w:bCs/>
          <w:lang w:val="el-GR"/>
        </w:rPr>
        <w:t>ατόμων ηλικίας άνω των 50 ετών</w:t>
      </w:r>
      <w:r w:rsidRPr="00686B8D">
        <w:rPr>
          <w:lang w:val="el-GR"/>
        </w:rPr>
        <w:t>. Τα Σχέδια περιλαμβάνονται στα μέτρα των ενεργητικών πολιτικών απασχόλησης που εφαρμόζονται στην Κύπρο και συμβάλλουν στην προσπάθεια που καταβάλλεται για καταπολέμηση της φτώχειας και του κοινωνικού αποκλεισμού, ειδικότερα όσον αφορά την ενεργό ένταξη ευπαθών ομάδων πληθυσμού στην αγορά εργασίας.</w:t>
      </w:r>
    </w:p>
    <w:p w14:paraId="79DDDFED" w14:textId="77777777" w:rsidR="00686B8D" w:rsidRPr="00686B8D" w:rsidRDefault="00686B8D" w:rsidP="00686B8D">
      <w:pPr>
        <w:jc w:val="both"/>
        <w:rPr>
          <w:lang w:val="el-GR"/>
        </w:rPr>
      </w:pPr>
      <w:r w:rsidRPr="00686B8D">
        <w:rPr>
          <w:lang w:val="el-GR"/>
        </w:rPr>
        <w:t xml:space="preserve">Για την κοινωνική και εργασιακή ένταξη των </w:t>
      </w:r>
      <w:r w:rsidRPr="00686B8D">
        <w:rPr>
          <w:b/>
          <w:bCs/>
          <w:lang w:val="el-GR"/>
        </w:rPr>
        <w:t>ατόμων με αναπηρίες</w:t>
      </w:r>
      <w:r w:rsidRPr="00686B8D">
        <w:rPr>
          <w:lang w:val="el-GR"/>
        </w:rPr>
        <w:t xml:space="preserve"> ξεκίνησε, επίσης, η υλοποίηση του έργου «Επέκταση Εφαρμογής του Συστήματος Αξιολόγησης της Αναπηρίας και Λειτουργικότητας», </w:t>
      </w:r>
      <w:r w:rsidRPr="00686B8D">
        <w:rPr>
          <w:color w:val="000000"/>
          <w:lang w:val="el-GR"/>
        </w:rPr>
        <w:t xml:space="preserve">στο </w:t>
      </w:r>
      <w:r w:rsidRPr="00686B8D">
        <w:rPr>
          <w:color w:val="000000"/>
          <w:lang w:val="el-GR"/>
        </w:rPr>
        <w:lastRenderedPageBreak/>
        <w:t>πλαίσιο του οποίου θα λειτουργήσουν 3 Κέντρα αξιολόγησης που θα εξυπηρετούν τις ανάγκες των ΑμεΑ σε Παγκύπρια βάση. Ήδη έχουν ολοκληρωθεί 3.918 αξιολογήσεις από την έναρξη του έργου.</w:t>
      </w:r>
    </w:p>
    <w:p w14:paraId="4FE48414" w14:textId="77777777" w:rsidR="00686B8D" w:rsidRPr="00686B8D" w:rsidRDefault="00686B8D" w:rsidP="00686B8D">
      <w:pPr>
        <w:jc w:val="both"/>
        <w:rPr>
          <w:rFonts w:ascii="Verdana" w:hAnsi="Verdana"/>
          <w:color w:val="000000"/>
          <w:sz w:val="18"/>
          <w:szCs w:val="18"/>
          <w:shd w:val="clear" w:color="auto" w:fill="FFFFFF"/>
          <w:lang w:val="el-GR"/>
        </w:rPr>
      </w:pPr>
      <w:r w:rsidRPr="00686B8D">
        <w:rPr>
          <w:lang w:val="el-GR"/>
        </w:rPr>
        <w:t xml:space="preserve">Για </w:t>
      </w:r>
      <w:r w:rsidRPr="00686B8D">
        <w:rPr>
          <w:b/>
          <w:bCs/>
          <w:lang w:val="el-GR"/>
        </w:rPr>
        <w:t>τους μαθητές που ανήκουν σε ευάλωτες κοινωνικές ομάδες</w:t>
      </w:r>
      <w:r w:rsidRPr="00686B8D">
        <w:rPr>
          <w:lang w:val="el-GR"/>
        </w:rPr>
        <w:t xml:space="preserve"> και απειλούνται ή βιώνουν διακρίσεις ή κοινωνικό αποκλεισμό, εφαρμόζεται σε επιλεγμένες σχολικές μονάδες δράσεις σχολικής και κοινωνικής ένταξης. Πρόκειται για το Πρόγραμμα «ΔΡΑ.Σ.Ε.» που το 2016 υλοποιήθηκε σε 42 σχολικές μονάδες (Νηπιαγωγεία, Δημοτικά, Γυμνάσια), καλύπτοντας περίπου το 10% των μαθητών. Τη σχολική χρονιά 2016-2017, η εφαρμογή του προγράμματος προγραμματίζεται να επεκταθεί σε περίπου 80 σχολικές μονάδες (Νηπιαγωγεία, Δημοτικά, Γυμνάσια/Λύκεια, Τεχνικές Σχολές), καλύπτοντας περίπου το 12% του μαθητικού πληθυσμού, με απώτερο στόχο την</w:t>
      </w:r>
      <w:r w:rsidRPr="00686B8D">
        <w:t> </w:t>
      </w:r>
      <w:r w:rsidRPr="00686B8D">
        <w:rPr>
          <w:lang w:val="el-GR"/>
        </w:rPr>
        <w:t xml:space="preserve"> κάλυψη του 15% του μαθητικού πληθυσμού. </w:t>
      </w:r>
    </w:p>
    <w:p w14:paraId="0CABCC35" w14:textId="77777777" w:rsidR="00686B8D" w:rsidRPr="00686B8D" w:rsidRDefault="00686B8D" w:rsidP="00686B8D">
      <w:pPr>
        <w:jc w:val="both"/>
        <w:rPr>
          <w:lang w:val="el-GR"/>
        </w:rPr>
      </w:pPr>
      <w:r w:rsidRPr="00686B8D">
        <w:rPr>
          <w:lang w:val="el-GR"/>
        </w:rPr>
        <w:t xml:space="preserve">Για την εργοδότηση των </w:t>
      </w:r>
      <w:r w:rsidRPr="00686B8D">
        <w:rPr>
          <w:b/>
          <w:bCs/>
          <w:lang w:val="el-GR"/>
        </w:rPr>
        <w:t>μακροχρόνια ανέργων</w:t>
      </w:r>
      <w:r w:rsidRPr="00686B8D">
        <w:rPr>
          <w:lang w:val="el-GR"/>
        </w:rPr>
        <w:t xml:space="preserve"> εφαρμόστηκε Σχέδιο Παροχής Κινήτρων, το οποίο υλοποιήθηκε μέσω 2 Προσκλήσεων (Ιούλιος &amp; Νοέμβριος 2015), στο πλαίσιο του οποίου υπογράφτηκαν 1.009 ΣΔΧ συνολικού ύψους σχεδόν €6 εκατ. Το Σχέδιο αφορούσε την επιχορήγηση της απασχόλησης εγγεγραμμένων άνεργων, σε Επαρχιακό ή Τοπικό Γραφείο Εργασίας (Δημόσια Υπηρεσία Απασχόλησης – ΔΥΑ) για πάνω από (6) συνεχόμενους μήνες πριν την ημερομηνία πρόσληψης τους.</w:t>
      </w:r>
    </w:p>
    <w:p w14:paraId="35C5D809" w14:textId="77777777" w:rsidR="00686B8D" w:rsidRPr="00686B8D" w:rsidRDefault="00686B8D" w:rsidP="00686B8D">
      <w:pPr>
        <w:jc w:val="both"/>
        <w:rPr>
          <w:lang w:val="el-GR"/>
        </w:rPr>
      </w:pPr>
      <w:r w:rsidRPr="00686B8D">
        <w:rPr>
          <w:lang w:val="el-GR"/>
        </w:rPr>
        <w:t xml:space="preserve">Για τους </w:t>
      </w:r>
      <w:r w:rsidRPr="00686B8D">
        <w:rPr>
          <w:b/>
          <w:bCs/>
          <w:lang w:val="el-GR"/>
        </w:rPr>
        <w:t>νέους ηλικίας 25 μέχρι 29 ετών που βρίσκονται εκτός Απασχόλησης, Εκπαίδευσης ή Κατάρτισης (</w:t>
      </w:r>
      <w:r w:rsidRPr="00686B8D">
        <w:rPr>
          <w:b/>
          <w:bCs/>
        </w:rPr>
        <w:t>NEETs</w:t>
      </w:r>
      <w:r w:rsidRPr="00686B8D">
        <w:rPr>
          <w:lang w:val="el-GR"/>
        </w:rPr>
        <w:t>) προγραμματίζεται εντός του 2017 Σχέδιο Παροχής Κινήτρων για την ένταξη τους στην αγορά εργασίας. Το Σχέδιο θα αποσκοπεί στην άμβλυνση της ανεργίας στους νέους ηλικίας από 25 μέχρι 29 ετών, οι οποίοι δεν μετέχουν σε πρόγραμμα εκπαίδευσης ή κατάρτισης. Στο πλαίσιο του Σχεδίου αναμένεται να ενταχθούν οκτακόσια (800) άτομα από την Ομάδα Στόχο.</w:t>
      </w:r>
    </w:p>
    <w:p w14:paraId="01FD8F64" w14:textId="77777777" w:rsidR="00686B8D" w:rsidRPr="00686B8D" w:rsidRDefault="00686B8D" w:rsidP="00686B8D">
      <w:pPr>
        <w:jc w:val="both"/>
        <w:rPr>
          <w:lang w:val="el-GR"/>
        </w:rPr>
      </w:pPr>
      <w:r w:rsidRPr="00686B8D">
        <w:rPr>
          <w:lang w:val="el-GR"/>
        </w:rPr>
        <w:t xml:space="preserve">Τέλος, για την προώθηση στην απασχόληση των ευάλωτων κοινωνικών ομάδων του πληθυσμού, ως μέτρο για την άρση του κινδύνου της φτώχειας και του κοινωνικού αποκλεισμού, έχουν προβλεφθεί δράσεις στήριξης της </w:t>
      </w:r>
      <w:r w:rsidRPr="00686B8D">
        <w:rPr>
          <w:b/>
          <w:bCs/>
          <w:lang w:val="el-GR"/>
        </w:rPr>
        <w:t>κοινωνικής επιχειρηματικότητας</w:t>
      </w:r>
      <w:r w:rsidRPr="00686B8D">
        <w:rPr>
          <w:lang w:val="el-GR"/>
        </w:rPr>
        <w:t>, οι οποίες αναμένεται να ενεργοποιηθούν μετά την ψήφιση του σχετικού νομοσχεδίου (</w:t>
      </w:r>
      <w:r w:rsidRPr="00686B8D">
        <w:t>O</w:t>
      </w:r>
      <w:r w:rsidRPr="00686B8D">
        <w:rPr>
          <w:lang w:val="el-GR"/>
        </w:rPr>
        <w:t xml:space="preserve"> περί Κοινωνικών Επιχειρήσεων Νόμος) που τέθηκε σε διαβούλευση το Μάρτιο του 2017.</w:t>
      </w:r>
    </w:p>
    <w:p w14:paraId="777292B1" w14:textId="77777777" w:rsidR="009F446E" w:rsidRDefault="009F446E" w:rsidP="00752536">
      <w:pPr>
        <w:jc w:val="both"/>
        <w:rPr>
          <w:lang w:val="el-GR"/>
        </w:rPr>
      </w:pPr>
    </w:p>
    <w:sectPr w:rsidR="009F446E" w:rsidSect="000C6CC1">
      <w:pgSz w:w="12240" w:h="15840" w:code="1"/>
      <w:pgMar w:top="1134"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0AC1" w14:textId="77777777" w:rsidR="00C012FB" w:rsidRDefault="00C012FB" w:rsidP="00BD5DA4">
      <w:pPr>
        <w:spacing w:after="0" w:line="240" w:lineRule="auto"/>
      </w:pPr>
      <w:r>
        <w:separator/>
      </w:r>
    </w:p>
  </w:endnote>
  <w:endnote w:type="continuationSeparator" w:id="0">
    <w:p w14:paraId="753F1B05" w14:textId="77777777" w:rsidR="00C012FB" w:rsidRDefault="00C012FB" w:rsidP="00BD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tempelGaramond Roman">
    <w:panose1 w:val="02020502050306020203"/>
    <w:charset w:val="00"/>
    <w:family w:val="roman"/>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TimesNewRomanPSMT">
    <w:altName w:val="MS Mincho"/>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B612" w14:textId="77777777" w:rsidR="004B4292" w:rsidRDefault="004B4292">
    <w:pPr>
      <w:pStyle w:val="Footer"/>
      <w:jc w:val="right"/>
    </w:pPr>
  </w:p>
  <w:p w14:paraId="71B1A56E" w14:textId="781A0D18" w:rsidR="004B4292" w:rsidRPr="004552C9" w:rsidRDefault="004B4292" w:rsidP="001B7D20">
    <w:pPr>
      <w:pStyle w:val="Footer"/>
      <w:spacing w:before="120"/>
      <w:ind w:left="-448" w:right="-357"/>
      <w:jc w:val="center"/>
      <w:rPr>
        <w:i/>
        <w:sz w:val="16"/>
        <w:szCs w:val="18"/>
        <w:lang w:val="el-GR"/>
      </w:rPr>
    </w:pPr>
  </w:p>
  <w:p w14:paraId="47246572" w14:textId="77777777" w:rsidR="004B4292" w:rsidRPr="001B7D20" w:rsidRDefault="004B4292">
    <w:pPr>
      <w:pStyle w:val="Footer"/>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AD0E" w14:textId="4F7F77F5" w:rsidR="004B4292" w:rsidRDefault="004B4292">
    <w:pPr>
      <w:pStyle w:val="Footer"/>
      <w:jc w:val="right"/>
    </w:pPr>
    <w:r>
      <w:fldChar w:fldCharType="begin"/>
    </w:r>
    <w:r>
      <w:instrText xml:space="preserve"> PAGE   \* MERGEFORMAT </w:instrText>
    </w:r>
    <w:r>
      <w:fldChar w:fldCharType="separate"/>
    </w:r>
    <w:r w:rsidR="00265C8E">
      <w:rPr>
        <w:noProof/>
      </w:rPr>
      <w:t>ii</w:t>
    </w:r>
    <w:r>
      <w:rPr>
        <w:noProof/>
      </w:rPr>
      <w:fldChar w:fldCharType="end"/>
    </w:r>
  </w:p>
  <w:p w14:paraId="35A9D165" w14:textId="77777777" w:rsidR="004B4292" w:rsidRPr="001B7D20" w:rsidRDefault="004B4292">
    <w:pPr>
      <w:pStyle w:val="Footer"/>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D4FA" w14:textId="4D88F43D" w:rsidR="004B4292" w:rsidRDefault="004B4292">
    <w:pPr>
      <w:pStyle w:val="Footer"/>
      <w:jc w:val="right"/>
    </w:pPr>
    <w:r>
      <w:fldChar w:fldCharType="begin"/>
    </w:r>
    <w:r>
      <w:instrText xml:space="preserve"> PAGE   \* MERGEFORMAT </w:instrText>
    </w:r>
    <w:r>
      <w:fldChar w:fldCharType="separate"/>
    </w:r>
    <w:r w:rsidR="00265C8E">
      <w:rPr>
        <w:noProof/>
      </w:rPr>
      <w:t>4</w:t>
    </w:r>
    <w:r>
      <w:rPr>
        <w:noProof/>
      </w:rPr>
      <w:fldChar w:fldCharType="end"/>
    </w:r>
  </w:p>
  <w:p w14:paraId="2AE93E08" w14:textId="77777777" w:rsidR="004B4292" w:rsidRPr="001B7D20" w:rsidRDefault="004B4292">
    <w:pPr>
      <w:pStyle w:val="Footer"/>
      <w:rPr>
        <w:lang w:val="el-G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DF96" w14:textId="24BE7AFB" w:rsidR="004B4292" w:rsidRDefault="004B4292">
    <w:pPr>
      <w:pStyle w:val="Footer"/>
      <w:jc w:val="right"/>
    </w:pPr>
    <w:r>
      <w:fldChar w:fldCharType="begin"/>
    </w:r>
    <w:r>
      <w:instrText xml:space="preserve"> PAGE   \* MERGEFORMAT </w:instrText>
    </w:r>
    <w:r>
      <w:fldChar w:fldCharType="separate"/>
    </w:r>
    <w:r w:rsidR="00265C8E">
      <w:rPr>
        <w:noProof/>
      </w:rPr>
      <w:t>6</w:t>
    </w:r>
    <w:r>
      <w:rPr>
        <w:noProof/>
      </w:rPr>
      <w:fldChar w:fldCharType="end"/>
    </w:r>
  </w:p>
  <w:p w14:paraId="46244DAA" w14:textId="77777777" w:rsidR="004B4292" w:rsidRPr="001B7D20" w:rsidRDefault="004B4292">
    <w:pPr>
      <w:pStyle w:val="Footer"/>
      <w:rPr>
        <w:lang w:val="el-G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83B7" w14:textId="53A8D80C" w:rsidR="004B4292" w:rsidRDefault="004B4292">
    <w:pPr>
      <w:pStyle w:val="Footer"/>
      <w:jc w:val="right"/>
    </w:pPr>
    <w:r>
      <w:fldChar w:fldCharType="begin"/>
    </w:r>
    <w:r>
      <w:instrText xml:space="preserve"> PAGE   \* MERGEFORMAT </w:instrText>
    </w:r>
    <w:r>
      <w:fldChar w:fldCharType="separate"/>
    </w:r>
    <w:r w:rsidR="00265C8E">
      <w:rPr>
        <w:noProof/>
      </w:rPr>
      <w:t>19</w:t>
    </w:r>
    <w:r>
      <w:rPr>
        <w:noProof/>
      </w:rPr>
      <w:fldChar w:fldCharType="end"/>
    </w:r>
  </w:p>
  <w:p w14:paraId="66B7EE1A" w14:textId="77777777" w:rsidR="004B4292" w:rsidRPr="001B7D20" w:rsidRDefault="004B4292">
    <w:pPr>
      <w:pStyle w:val="Footer"/>
      <w:rPr>
        <w:lang w:val="el-G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63A2" w14:textId="1EABE816" w:rsidR="004B4292" w:rsidRDefault="004B4292">
    <w:pPr>
      <w:pStyle w:val="Footer"/>
      <w:jc w:val="right"/>
    </w:pPr>
    <w:r>
      <w:fldChar w:fldCharType="begin"/>
    </w:r>
    <w:r>
      <w:instrText xml:space="preserve"> PAGE   \* MERGEFORMAT </w:instrText>
    </w:r>
    <w:r>
      <w:fldChar w:fldCharType="separate"/>
    </w:r>
    <w:r w:rsidR="00C32E5D">
      <w:rPr>
        <w:noProof/>
      </w:rPr>
      <w:t>21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BF93" w14:textId="35D28FC4" w:rsidR="004B4292" w:rsidRDefault="004B4292">
    <w:pPr>
      <w:pStyle w:val="Footer"/>
      <w:jc w:val="right"/>
    </w:pPr>
    <w:r>
      <w:fldChar w:fldCharType="begin"/>
    </w:r>
    <w:r>
      <w:instrText xml:space="preserve"> PAGE   \* MERGEFORMAT </w:instrText>
    </w:r>
    <w:r>
      <w:fldChar w:fldCharType="separate"/>
    </w:r>
    <w:r w:rsidR="00C32E5D">
      <w:rPr>
        <w:noProof/>
      </w:rPr>
      <w:t>108</w:t>
    </w:r>
    <w:r>
      <w:rPr>
        <w:noProof/>
      </w:rPr>
      <w:fldChar w:fldCharType="end"/>
    </w:r>
  </w:p>
  <w:p w14:paraId="1BF65434" w14:textId="77777777" w:rsidR="004B4292" w:rsidRPr="001B7D20" w:rsidRDefault="004B4292">
    <w:pPr>
      <w:pStyle w:val="Footer"/>
      <w:rPr>
        <w:lang w:val="el-GR"/>
      </w:rPr>
    </w:pPr>
  </w:p>
  <w:p w14:paraId="540914A6" w14:textId="77777777" w:rsidR="004B4292" w:rsidRDefault="004B42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454C8" w14:textId="77777777" w:rsidR="00C012FB" w:rsidRDefault="00C012FB" w:rsidP="00BD5DA4">
      <w:pPr>
        <w:spacing w:after="0" w:line="240" w:lineRule="auto"/>
      </w:pPr>
      <w:r>
        <w:separator/>
      </w:r>
    </w:p>
  </w:footnote>
  <w:footnote w:type="continuationSeparator" w:id="0">
    <w:p w14:paraId="0BCBFEFB" w14:textId="77777777" w:rsidR="00C012FB" w:rsidRDefault="00C012FB" w:rsidP="00BD5DA4">
      <w:pPr>
        <w:spacing w:after="0" w:line="240" w:lineRule="auto"/>
      </w:pPr>
      <w:r>
        <w:continuationSeparator/>
      </w:r>
    </w:p>
  </w:footnote>
  <w:footnote w:id="1">
    <w:p w14:paraId="288A1964" w14:textId="30CA74DB" w:rsidR="004B4292" w:rsidRPr="007F4A8D" w:rsidRDefault="004B4292">
      <w:pPr>
        <w:pStyle w:val="FootnoteText"/>
        <w:rPr>
          <w:rFonts w:ascii="Calibri" w:hAnsi="Calibri"/>
        </w:rPr>
      </w:pPr>
      <w:r w:rsidRPr="00723E0B">
        <w:rPr>
          <w:rStyle w:val="FootnoteReference"/>
          <w:rFonts w:ascii="Calibri" w:hAnsi="Calibri"/>
        </w:rPr>
        <w:footnoteRef/>
      </w:r>
      <w:r w:rsidRPr="007F4A8D">
        <w:rPr>
          <w:rFonts w:ascii="Calibri" w:hAnsi="Calibri"/>
        </w:rPr>
        <w:t xml:space="preserve"> </w:t>
      </w:r>
      <w:bookmarkStart w:id="9" w:name="_Hlk489598304"/>
      <w:r w:rsidRPr="00527A90">
        <w:rPr>
          <w:rFonts w:ascii="Calibri" w:hAnsi="Calibri" w:cs="Calibri"/>
        </w:rPr>
        <w:t>European Commission’s Post Programme Surveillance Report,</w:t>
      </w:r>
      <w:r w:rsidRPr="00527A90">
        <w:rPr>
          <w:rFonts w:ascii="Calibri" w:hAnsi="Calibri" w:cs="Calibri"/>
          <w:lang w:val="en-US"/>
        </w:rPr>
        <w:t xml:space="preserve"> Institutional Paper 058, July 2017</w:t>
      </w:r>
      <w:bookmarkEnd w:id="9"/>
    </w:p>
  </w:footnote>
  <w:footnote w:id="2">
    <w:p w14:paraId="54FCE998" w14:textId="01E2ABA6" w:rsidR="004B4292" w:rsidRPr="007F4A8D" w:rsidRDefault="004B4292" w:rsidP="00B9244D">
      <w:pPr>
        <w:pStyle w:val="FootnoteText"/>
        <w:rPr>
          <w:rFonts w:ascii="Calibri" w:hAnsi="Calibri"/>
          <w:lang w:val="el-GR"/>
        </w:rPr>
      </w:pPr>
      <w:r w:rsidRPr="00723E0B">
        <w:rPr>
          <w:rStyle w:val="FootnoteReference"/>
          <w:rFonts w:ascii="Calibri" w:hAnsi="Calibri"/>
        </w:rPr>
        <w:footnoteRef/>
      </w:r>
      <w:r w:rsidRPr="007F4A8D">
        <w:rPr>
          <w:rFonts w:ascii="Calibri" w:hAnsi="Calibri"/>
          <w:lang w:val="el-GR"/>
        </w:rPr>
        <w:t xml:space="preserve"> </w:t>
      </w:r>
      <w:r w:rsidRPr="00E12961">
        <w:rPr>
          <w:rFonts w:ascii="Calibri" w:hAnsi="Calibri"/>
          <w:lang w:val="el-GR"/>
        </w:rPr>
        <w:t>Ευρωπαϊκή</w:t>
      </w:r>
      <w:r w:rsidRPr="007F4A8D">
        <w:rPr>
          <w:rFonts w:ascii="Calibri" w:hAnsi="Calibri"/>
          <w:lang w:val="el-GR"/>
        </w:rPr>
        <w:t xml:space="preserve"> </w:t>
      </w:r>
      <w:r w:rsidRPr="00E12961">
        <w:rPr>
          <w:rFonts w:ascii="Calibri" w:hAnsi="Calibri"/>
          <w:lang w:val="el-GR"/>
        </w:rPr>
        <w:t>Επιτροπή</w:t>
      </w:r>
      <w:r w:rsidRPr="007F4A8D">
        <w:rPr>
          <w:rFonts w:ascii="Calibri" w:hAnsi="Calibri"/>
          <w:lang w:val="el-GR"/>
        </w:rPr>
        <w:t xml:space="preserve">, </w:t>
      </w:r>
      <w:r w:rsidRPr="00E12961">
        <w:rPr>
          <w:rFonts w:ascii="Calibri" w:hAnsi="Calibri"/>
          <w:lang w:val="el-GR"/>
        </w:rPr>
        <w:t>Ευρωπαϊκό</w:t>
      </w:r>
      <w:r w:rsidRPr="007F4A8D">
        <w:rPr>
          <w:rFonts w:ascii="Calibri" w:hAnsi="Calibri"/>
          <w:lang w:val="el-GR"/>
        </w:rPr>
        <w:t xml:space="preserve"> </w:t>
      </w:r>
      <w:r w:rsidRPr="00E12961">
        <w:rPr>
          <w:rFonts w:ascii="Calibri" w:hAnsi="Calibri"/>
          <w:lang w:val="el-GR"/>
        </w:rPr>
        <w:t>Εξάμηνο</w:t>
      </w:r>
      <w:r w:rsidRPr="007F4A8D">
        <w:rPr>
          <w:rFonts w:ascii="Calibri" w:hAnsi="Calibri"/>
          <w:lang w:val="el-GR"/>
        </w:rPr>
        <w:t xml:space="preserve"> 2017: </w:t>
      </w:r>
      <w:r w:rsidRPr="00E12961">
        <w:rPr>
          <w:rFonts w:ascii="Calibri" w:hAnsi="Calibri"/>
          <w:lang w:val="el-GR"/>
        </w:rPr>
        <w:t>Έκθεση</w:t>
      </w:r>
      <w:r w:rsidRPr="007F4A8D">
        <w:rPr>
          <w:rFonts w:ascii="Calibri" w:hAnsi="Calibri"/>
          <w:lang w:val="el-GR"/>
        </w:rPr>
        <w:t xml:space="preserve"> </w:t>
      </w:r>
      <w:r w:rsidRPr="00E12961">
        <w:rPr>
          <w:rFonts w:ascii="Calibri" w:hAnsi="Calibri"/>
          <w:lang w:val="el-GR"/>
        </w:rPr>
        <w:t>Χώρας</w:t>
      </w:r>
      <w:r w:rsidRPr="007F4A8D">
        <w:rPr>
          <w:rFonts w:ascii="Calibri" w:hAnsi="Calibri"/>
          <w:lang w:val="el-GR"/>
        </w:rPr>
        <w:t xml:space="preserve"> – </w:t>
      </w:r>
      <w:r w:rsidRPr="00E12961">
        <w:rPr>
          <w:rFonts w:ascii="Calibri" w:hAnsi="Calibri"/>
          <w:lang w:val="el-GR"/>
        </w:rPr>
        <w:t>Κύπρος</w:t>
      </w:r>
      <w:r w:rsidRPr="007F4A8D">
        <w:rPr>
          <w:rFonts w:ascii="Calibri" w:hAnsi="Calibri" w:cs="Calibri"/>
          <w:lang w:val="el-GR"/>
        </w:rPr>
        <w:t>,</w:t>
      </w:r>
      <w:r w:rsidRPr="007F4A8D">
        <w:rPr>
          <w:rFonts w:ascii="Calibri" w:hAnsi="Calibri"/>
          <w:lang w:val="el-GR"/>
        </w:rPr>
        <w:t xml:space="preserve"> </w:t>
      </w:r>
      <w:r w:rsidRPr="00E12961">
        <w:rPr>
          <w:rFonts w:ascii="Calibri" w:hAnsi="Calibri"/>
          <w:lang w:val="en-US"/>
        </w:rPr>
        <w:t>SWD</w:t>
      </w:r>
      <w:r w:rsidRPr="007F4A8D">
        <w:rPr>
          <w:rFonts w:ascii="Calibri" w:hAnsi="Calibri"/>
          <w:lang w:val="el-GR"/>
        </w:rPr>
        <w:t xml:space="preserve">(2017)78 </w:t>
      </w:r>
      <w:r w:rsidRPr="00E12961">
        <w:rPr>
          <w:rFonts w:ascii="Calibri" w:hAnsi="Calibri"/>
          <w:lang w:val="en-US"/>
        </w:rPr>
        <w:t>final</w:t>
      </w:r>
    </w:p>
  </w:footnote>
  <w:footnote w:id="3">
    <w:p w14:paraId="059A4503" w14:textId="77777777" w:rsidR="004B4292" w:rsidRPr="00CF55AC" w:rsidRDefault="004B4292" w:rsidP="00B9244D">
      <w:pPr>
        <w:pStyle w:val="FootnoteText"/>
        <w:rPr>
          <w:rFonts w:ascii="Calibri" w:hAnsi="Calibri"/>
          <w:lang w:val="el-GR"/>
        </w:rPr>
      </w:pPr>
      <w:r w:rsidRPr="00723E0B">
        <w:rPr>
          <w:rStyle w:val="FootnoteReference"/>
          <w:rFonts w:ascii="Calibri" w:hAnsi="Calibri"/>
        </w:rPr>
        <w:footnoteRef/>
      </w:r>
      <w:r w:rsidRPr="00CF55AC">
        <w:rPr>
          <w:rFonts w:ascii="Calibri" w:hAnsi="Calibri"/>
          <w:lang w:val="el-GR"/>
        </w:rPr>
        <w:t xml:space="preserve"> </w:t>
      </w:r>
      <w:r w:rsidRPr="00723E0B">
        <w:rPr>
          <w:rFonts w:ascii="Calibri" w:hAnsi="Calibri"/>
          <w:lang w:val="el-GR"/>
        </w:rPr>
        <w:t>Στατιστική</w:t>
      </w:r>
      <w:r w:rsidRPr="00CF55AC">
        <w:rPr>
          <w:rFonts w:ascii="Calibri" w:hAnsi="Calibri"/>
          <w:lang w:val="el-GR"/>
        </w:rPr>
        <w:t xml:space="preserve"> </w:t>
      </w:r>
      <w:r w:rsidRPr="00723E0B">
        <w:rPr>
          <w:rFonts w:ascii="Calibri" w:hAnsi="Calibri"/>
          <w:lang w:val="el-GR"/>
        </w:rPr>
        <w:t>Υπηρεσία</w:t>
      </w:r>
      <w:r w:rsidRPr="00CF55AC">
        <w:rPr>
          <w:rFonts w:ascii="Calibri" w:hAnsi="Calibri"/>
          <w:lang w:val="el-GR"/>
        </w:rPr>
        <w:t xml:space="preserve"> </w:t>
      </w:r>
      <w:r w:rsidRPr="00723E0B">
        <w:rPr>
          <w:rFonts w:ascii="Calibri" w:hAnsi="Calibri"/>
          <w:lang w:val="el-GR"/>
        </w:rPr>
        <w:t>της</w:t>
      </w:r>
      <w:r w:rsidRPr="00CF55AC">
        <w:rPr>
          <w:rFonts w:ascii="Calibri" w:hAnsi="Calibri"/>
          <w:lang w:val="el-GR"/>
        </w:rPr>
        <w:t xml:space="preserve"> </w:t>
      </w:r>
      <w:r w:rsidRPr="00723E0B">
        <w:rPr>
          <w:rFonts w:ascii="Calibri" w:hAnsi="Calibri"/>
          <w:lang w:val="el-GR"/>
        </w:rPr>
        <w:t>Κυπριακής</w:t>
      </w:r>
      <w:r w:rsidRPr="00CF55AC">
        <w:rPr>
          <w:rFonts w:ascii="Calibri" w:hAnsi="Calibri"/>
          <w:lang w:val="el-GR"/>
        </w:rPr>
        <w:t xml:space="preserve"> </w:t>
      </w:r>
      <w:r w:rsidRPr="00723E0B">
        <w:rPr>
          <w:rFonts w:ascii="Calibri" w:hAnsi="Calibri"/>
          <w:lang w:val="el-GR"/>
        </w:rPr>
        <w:t>Δημοκρατίας</w:t>
      </w:r>
    </w:p>
  </w:footnote>
  <w:footnote w:id="4">
    <w:p w14:paraId="0A5640EF" w14:textId="77777777" w:rsidR="004B4292" w:rsidRPr="00703A7B" w:rsidRDefault="004B4292" w:rsidP="00746384">
      <w:pPr>
        <w:pStyle w:val="FootnoteText"/>
        <w:rPr>
          <w:rFonts w:asciiTheme="minorHAnsi" w:hAnsiTheme="minorHAnsi"/>
          <w:lang w:val="el-GR"/>
        </w:rPr>
      </w:pPr>
      <w:r w:rsidRPr="00703A7B">
        <w:rPr>
          <w:rStyle w:val="FootnoteReference"/>
          <w:rFonts w:asciiTheme="minorHAnsi" w:hAnsiTheme="minorHAnsi"/>
        </w:rPr>
        <w:footnoteRef/>
      </w:r>
      <w:r w:rsidRPr="00703A7B">
        <w:rPr>
          <w:rFonts w:asciiTheme="minorHAnsi" w:hAnsiTheme="minorHAnsi"/>
          <w:lang w:val="el-GR"/>
        </w:rPr>
        <w:t xml:space="preserve"> </w:t>
      </w:r>
      <w:r w:rsidRPr="00703A7B">
        <w:rPr>
          <w:rFonts w:asciiTheme="minorHAnsi" w:hAnsiTheme="minorHAnsi"/>
          <w:lang w:val="en-US"/>
        </w:rPr>
        <w:t>European</w:t>
      </w:r>
      <w:r w:rsidRPr="00703A7B">
        <w:rPr>
          <w:rFonts w:asciiTheme="minorHAnsi" w:hAnsiTheme="minorHAnsi"/>
          <w:lang w:val="el-GR"/>
        </w:rPr>
        <w:t xml:space="preserve"> </w:t>
      </w:r>
      <w:r w:rsidRPr="00703A7B">
        <w:rPr>
          <w:rFonts w:asciiTheme="minorHAnsi" w:hAnsiTheme="minorHAnsi"/>
          <w:lang w:val="en-US"/>
        </w:rPr>
        <w:t>Semester</w:t>
      </w:r>
      <w:r w:rsidRPr="00703A7B">
        <w:rPr>
          <w:rFonts w:asciiTheme="minorHAnsi" w:hAnsiTheme="minorHAnsi"/>
          <w:lang w:val="el-GR"/>
        </w:rPr>
        <w:t xml:space="preserve"> </w:t>
      </w:r>
      <w:r w:rsidRPr="00703A7B">
        <w:rPr>
          <w:rFonts w:asciiTheme="minorHAnsi" w:hAnsiTheme="minorHAnsi"/>
          <w:lang w:val="en-US"/>
        </w:rPr>
        <w:t>Spring</w:t>
      </w:r>
      <w:r w:rsidRPr="00703A7B">
        <w:rPr>
          <w:rFonts w:asciiTheme="minorHAnsi" w:hAnsiTheme="minorHAnsi"/>
          <w:lang w:val="el-GR"/>
        </w:rPr>
        <w:t xml:space="preserve"> 2017, </w:t>
      </w:r>
      <w:r w:rsidRPr="00703A7B">
        <w:rPr>
          <w:rFonts w:asciiTheme="minorHAnsi" w:hAnsiTheme="minorHAnsi"/>
          <w:lang w:val="en-US"/>
        </w:rPr>
        <w:t>Annual</w:t>
      </w:r>
      <w:r w:rsidRPr="00703A7B">
        <w:rPr>
          <w:rFonts w:asciiTheme="minorHAnsi" w:hAnsiTheme="minorHAnsi"/>
          <w:lang w:val="el-GR"/>
        </w:rPr>
        <w:t xml:space="preserve"> </w:t>
      </w:r>
      <w:r w:rsidRPr="00703A7B">
        <w:rPr>
          <w:rFonts w:asciiTheme="minorHAnsi" w:hAnsiTheme="minorHAnsi"/>
          <w:lang w:val="en-US"/>
        </w:rPr>
        <w:t>Growth</w:t>
      </w:r>
      <w:r w:rsidRPr="00703A7B">
        <w:rPr>
          <w:rFonts w:asciiTheme="minorHAnsi" w:hAnsiTheme="minorHAnsi"/>
          <w:lang w:val="el-GR"/>
        </w:rPr>
        <w:t xml:space="preserve"> </w:t>
      </w:r>
      <w:r w:rsidRPr="00703A7B">
        <w:rPr>
          <w:rFonts w:asciiTheme="minorHAnsi" w:hAnsiTheme="minorHAnsi"/>
          <w:lang w:val="en-US"/>
        </w:rPr>
        <w:t>Survey</w:t>
      </w:r>
      <w:r w:rsidRPr="00703A7B">
        <w:rPr>
          <w:rFonts w:asciiTheme="minorHAnsi" w:hAnsiTheme="minorHAnsi"/>
          <w:lang w:val="el-GR"/>
        </w:rPr>
        <w:t xml:space="preserve">. </w:t>
      </w:r>
      <w:r w:rsidRPr="00703A7B">
        <w:rPr>
          <w:rFonts w:asciiTheme="minorHAnsi" w:hAnsiTheme="minorHAnsi"/>
          <w:lang w:val="en-US"/>
        </w:rPr>
        <w:t>COM</w:t>
      </w:r>
      <w:r w:rsidRPr="00703A7B">
        <w:rPr>
          <w:rFonts w:asciiTheme="minorHAnsi" w:hAnsiTheme="minorHAnsi"/>
          <w:lang w:val="el-GR"/>
        </w:rPr>
        <w:t xml:space="preserve">(2016) 725 </w:t>
      </w:r>
      <w:r w:rsidRPr="00703A7B">
        <w:rPr>
          <w:rFonts w:asciiTheme="minorHAnsi" w:hAnsiTheme="minorHAnsi"/>
          <w:lang w:val="en-US"/>
        </w:rPr>
        <w:t>final</w:t>
      </w:r>
      <w:r w:rsidRPr="00703A7B">
        <w:rPr>
          <w:rFonts w:asciiTheme="minorHAnsi" w:hAnsiTheme="minorHAnsi"/>
          <w:lang w:val="el-GR"/>
        </w:rPr>
        <w:t>.</w:t>
      </w:r>
    </w:p>
  </w:footnote>
  <w:footnote w:id="5">
    <w:p w14:paraId="2A05D72F" w14:textId="00D2DD48" w:rsidR="004B4292" w:rsidRPr="00703A7B" w:rsidRDefault="004B4292">
      <w:pPr>
        <w:pStyle w:val="FootnoteText"/>
        <w:rPr>
          <w:rFonts w:asciiTheme="minorHAnsi" w:hAnsiTheme="minorHAnsi"/>
          <w:lang w:val="el-GR"/>
        </w:rPr>
      </w:pPr>
      <w:r w:rsidRPr="00703A7B">
        <w:rPr>
          <w:rStyle w:val="FootnoteReference"/>
          <w:rFonts w:asciiTheme="minorHAnsi" w:hAnsiTheme="minorHAnsi"/>
        </w:rPr>
        <w:footnoteRef/>
      </w:r>
      <w:r w:rsidRPr="00703A7B">
        <w:rPr>
          <w:rFonts w:asciiTheme="minorHAnsi" w:hAnsiTheme="minorHAnsi"/>
          <w:lang w:val="el-GR"/>
        </w:rPr>
        <w:t xml:space="preserve"> Ευρωπαϊκή Επιτροπή, Ευρωπαϊκό Εξάμηνο 2017: Έκθεση Χώρας – Κύπρος. </w:t>
      </w:r>
      <w:r w:rsidRPr="00703A7B">
        <w:rPr>
          <w:rFonts w:asciiTheme="minorHAnsi" w:hAnsiTheme="minorHAnsi"/>
        </w:rPr>
        <w:t>SWD</w:t>
      </w:r>
      <w:r w:rsidRPr="00703A7B">
        <w:rPr>
          <w:rFonts w:asciiTheme="minorHAnsi" w:hAnsiTheme="minorHAnsi"/>
          <w:lang w:val="el-GR"/>
        </w:rPr>
        <w:t xml:space="preserve">(2017)78 </w:t>
      </w:r>
      <w:r w:rsidRPr="00703A7B">
        <w:rPr>
          <w:rFonts w:asciiTheme="minorHAnsi" w:hAnsiTheme="minorHAnsi"/>
        </w:rPr>
        <w:t>final</w:t>
      </w:r>
    </w:p>
  </w:footnote>
  <w:footnote w:id="6">
    <w:p w14:paraId="2343530C" w14:textId="77777777" w:rsidR="004B4292" w:rsidRPr="00703A7B" w:rsidRDefault="004B4292" w:rsidP="00703A7B">
      <w:pPr>
        <w:pStyle w:val="FootnoteText"/>
        <w:ind w:left="142" w:hanging="142"/>
        <w:rPr>
          <w:rFonts w:asciiTheme="minorHAnsi" w:hAnsiTheme="minorHAnsi"/>
          <w:lang w:val="el-GR"/>
        </w:rPr>
      </w:pPr>
      <w:r w:rsidRPr="00703A7B">
        <w:rPr>
          <w:rStyle w:val="FootnoteReference"/>
          <w:rFonts w:asciiTheme="minorHAnsi" w:hAnsiTheme="minorHAnsi"/>
        </w:rPr>
        <w:footnoteRef/>
      </w:r>
      <w:r w:rsidRPr="00703A7B">
        <w:rPr>
          <w:rFonts w:asciiTheme="minorHAnsi" w:hAnsiTheme="minorHAnsi"/>
          <w:lang w:val="el-GR"/>
        </w:rPr>
        <w:t xml:space="preserve"> </w:t>
      </w:r>
      <w:r w:rsidRPr="00703A7B">
        <w:rPr>
          <w:rFonts w:asciiTheme="minorHAnsi" w:hAnsiTheme="minorHAnsi"/>
          <w:caps/>
          <w:lang w:val="el-GR"/>
        </w:rPr>
        <w:t>Eurostat</w:t>
      </w:r>
      <w:r w:rsidRPr="00703A7B">
        <w:rPr>
          <w:rFonts w:asciiTheme="minorHAnsi" w:hAnsiTheme="minorHAnsi"/>
          <w:lang w:val="el-GR"/>
        </w:rPr>
        <w:t xml:space="preserve"> και Γενική Διεύθυνση Απασχόλησης, Κοινωνικών Υποθέσεων και Κοινωνικής Ένταξης, </w:t>
      </w:r>
      <w:r w:rsidRPr="00C74D51">
        <w:rPr>
          <w:rFonts w:asciiTheme="minorHAnsi" w:hAnsiTheme="minorHAnsi"/>
          <w:lang w:val="el-GR"/>
        </w:rPr>
        <w:t>“</w:t>
      </w:r>
      <w:r w:rsidRPr="00703A7B">
        <w:rPr>
          <w:rFonts w:asciiTheme="minorHAnsi" w:hAnsiTheme="minorHAnsi"/>
        </w:rPr>
        <w:t>Employment</w:t>
      </w:r>
      <w:r w:rsidRPr="00C74D51">
        <w:rPr>
          <w:rFonts w:asciiTheme="minorHAnsi" w:hAnsiTheme="minorHAnsi"/>
          <w:lang w:val="el-GR"/>
        </w:rPr>
        <w:t xml:space="preserve"> </w:t>
      </w:r>
      <w:r w:rsidRPr="00703A7B">
        <w:rPr>
          <w:rFonts w:asciiTheme="minorHAnsi" w:hAnsiTheme="minorHAnsi"/>
        </w:rPr>
        <w:t>and</w:t>
      </w:r>
      <w:r w:rsidRPr="00C74D51">
        <w:rPr>
          <w:rFonts w:asciiTheme="minorHAnsi" w:hAnsiTheme="minorHAnsi"/>
          <w:lang w:val="el-GR"/>
        </w:rPr>
        <w:t xml:space="preserve"> </w:t>
      </w:r>
      <w:r w:rsidRPr="00703A7B">
        <w:rPr>
          <w:rFonts w:asciiTheme="minorHAnsi" w:hAnsiTheme="minorHAnsi"/>
        </w:rPr>
        <w:t>Social</w:t>
      </w:r>
      <w:r w:rsidRPr="00C74D51">
        <w:rPr>
          <w:rFonts w:asciiTheme="minorHAnsi" w:hAnsiTheme="minorHAnsi"/>
          <w:lang w:val="el-GR"/>
        </w:rPr>
        <w:t xml:space="preserve"> </w:t>
      </w:r>
      <w:r w:rsidRPr="00703A7B">
        <w:rPr>
          <w:rFonts w:asciiTheme="minorHAnsi" w:hAnsiTheme="minorHAnsi"/>
        </w:rPr>
        <w:t>Developments</w:t>
      </w:r>
      <w:r w:rsidRPr="00C74D51">
        <w:rPr>
          <w:rFonts w:asciiTheme="minorHAnsi" w:hAnsiTheme="minorHAnsi"/>
          <w:lang w:val="el-GR"/>
        </w:rPr>
        <w:t xml:space="preserve"> </w:t>
      </w:r>
      <w:r w:rsidRPr="00703A7B">
        <w:rPr>
          <w:rFonts w:asciiTheme="minorHAnsi" w:hAnsiTheme="minorHAnsi"/>
        </w:rPr>
        <w:t>in</w:t>
      </w:r>
      <w:r w:rsidRPr="00C74D51">
        <w:rPr>
          <w:rFonts w:asciiTheme="minorHAnsi" w:hAnsiTheme="minorHAnsi"/>
          <w:lang w:val="el-GR"/>
        </w:rPr>
        <w:t xml:space="preserve"> </w:t>
      </w:r>
      <w:r w:rsidRPr="00703A7B">
        <w:rPr>
          <w:rFonts w:asciiTheme="minorHAnsi" w:hAnsiTheme="minorHAnsi"/>
        </w:rPr>
        <w:t>Europe</w:t>
      </w:r>
      <w:r w:rsidRPr="00C74D51">
        <w:rPr>
          <w:rFonts w:asciiTheme="minorHAnsi" w:hAnsiTheme="minorHAnsi"/>
          <w:lang w:val="el-GR"/>
        </w:rPr>
        <w:t xml:space="preserve">, </w:t>
      </w:r>
      <w:r w:rsidRPr="00703A7B">
        <w:rPr>
          <w:rFonts w:asciiTheme="minorHAnsi" w:hAnsiTheme="minorHAnsi"/>
        </w:rPr>
        <w:t>Annual</w:t>
      </w:r>
      <w:r w:rsidRPr="00C74D51">
        <w:rPr>
          <w:rFonts w:asciiTheme="minorHAnsi" w:hAnsiTheme="minorHAnsi"/>
          <w:lang w:val="el-GR"/>
        </w:rPr>
        <w:t xml:space="preserve"> </w:t>
      </w:r>
      <w:r w:rsidRPr="00703A7B">
        <w:rPr>
          <w:rFonts w:asciiTheme="minorHAnsi" w:hAnsiTheme="minorHAnsi"/>
        </w:rPr>
        <w:t>Review</w:t>
      </w:r>
      <w:r w:rsidRPr="00C74D51">
        <w:rPr>
          <w:rFonts w:asciiTheme="minorHAnsi" w:hAnsiTheme="minorHAnsi"/>
          <w:lang w:val="el-GR"/>
        </w:rPr>
        <w:t xml:space="preserve"> 2016”</w:t>
      </w:r>
    </w:p>
  </w:footnote>
  <w:footnote w:id="7">
    <w:p w14:paraId="1A0BC2C8" w14:textId="12784C93" w:rsidR="004B4292" w:rsidRPr="00703A7B" w:rsidRDefault="004B4292" w:rsidP="00215334">
      <w:pPr>
        <w:pStyle w:val="FootnoteText"/>
        <w:ind w:left="142" w:hanging="142"/>
        <w:rPr>
          <w:rFonts w:asciiTheme="minorHAnsi" w:hAnsiTheme="minorHAnsi"/>
          <w:lang w:val="el-GR"/>
        </w:rPr>
      </w:pPr>
      <w:r w:rsidRPr="00703A7B">
        <w:rPr>
          <w:rStyle w:val="FootnoteReference"/>
          <w:rFonts w:asciiTheme="minorHAnsi" w:hAnsiTheme="minorHAnsi"/>
        </w:rPr>
        <w:footnoteRef/>
      </w:r>
      <w:r w:rsidRPr="00703A7B">
        <w:rPr>
          <w:rFonts w:asciiTheme="minorHAnsi" w:hAnsiTheme="minorHAnsi"/>
          <w:lang w:val="el-GR"/>
        </w:rPr>
        <w:t xml:space="preserve"> Πρόγραμμα Διεθνούς Αξιολόγησης Μαθητών του ΟΟΣΑ (</w:t>
      </w:r>
      <w:r w:rsidRPr="00703A7B">
        <w:rPr>
          <w:rStyle w:val="PageNumber"/>
          <w:rFonts w:asciiTheme="minorHAnsi" w:eastAsia="Times New Roman" w:hAnsiTheme="minorHAnsi"/>
          <w:lang w:val="en-US"/>
        </w:rPr>
        <w:t>PISA</w:t>
      </w:r>
      <w:r w:rsidRPr="00703A7B">
        <w:rPr>
          <w:rStyle w:val="PageNumber"/>
          <w:rFonts w:asciiTheme="minorHAnsi" w:eastAsia="Times New Roman" w:hAnsiTheme="minorHAnsi"/>
          <w:lang w:val="el-GR"/>
        </w:rPr>
        <w:t xml:space="preserve"> 2015).</w:t>
      </w:r>
    </w:p>
  </w:footnote>
  <w:footnote w:id="8">
    <w:p w14:paraId="4512CD88" w14:textId="77777777" w:rsidR="004B4292" w:rsidRPr="00703A7B" w:rsidRDefault="004B4292" w:rsidP="00D0240E">
      <w:pPr>
        <w:pStyle w:val="FootnoteText"/>
        <w:rPr>
          <w:rFonts w:asciiTheme="minorHAnsi" w:hAnsiTheme="minorHAnsi"/>
          <w:lang w:val="el-GR"/>
        </w:rPr>
      </w:pPr>
      <w:r w:rsidRPr="00703A7B">
        <w:rPr>
          <w:rStyle w:val="FootnoteReference"/>
          <w:rFonts w:asciiTheme="minorHAnsi" w:hAnsiTheme="minorHAnsi"/>
        </w:rPr>
        <w:footnoteRef/>
      </w:r>
      <w:r w:rsidRPr="00703A7B">
        <w:rPr>
          <w:rFonts w:asciiTheme="minorHAnsi" w:hAnsiTheme="minorHAnsi"/>
          <w:lang w:val="el-GR"/>
        </w:rPr>
        <w:t xml:space="preserve"> Ευρωπαϊκή Επιτροπή, Ευρωπαϊκό Εξάμηνο 2017: Έκθεση Χώρας – Κύπρος. </w:t>
      </w:r>
      <w:r w:rsidRPr="00703A7B">
        <w:rPr>
          <w:rFonts w:asciiTheme="minorHAnsi" w:hAnsiTheme="minorHAnsi"/>
        </w:rPr>
        <w:t>SWD</w:t>
      </w:r>
      <w:r w:rsidRPr="00703A7B">
        <w:rPr>
          <w:rFonts w:asciiTheme="minorHAnsi" w:hAnsiTheme="minorHAnsi"/>
          <w:lang w:val="el-GR"/>
        </w:rPr>
        <w:t xml:space="preserve">(2017)78 </w:t>
      </w:r>
      <w:r w:rsidRPr="00703A7B">
        <w:rPr>
          <w:rFonts w:asciiTheme="minorHAnsi" w:hAnsiTheme="minorHAnsi"/>
        </w:rPr>
        <w:t>final</w:t>
      </w:r>
    </w:p>
  </w:footnote>
  <w:footnote w:id="9">
    <w:p w14:paraId="1D13874A" w14:textId="77777777" w:rsidR="004B4292" w:rsidRPr="00703A7B" w:rsidRDefault="004B4292" w:rsidP="00F77DB3">
      <w:pPr>
        <w:pStyle w:val="FootnoteText"/>
        <w:rPr>
          <w:rFonts w:asciiTheme="minorHAnsi" w:hAnsiTheme="minorHAnsi"/>
          <w:lang w:val="el-GR"/>
        </w:rPr>
      </w:pPr>
      <w:r w:rsidRPr="00703A7B">
        <w:rPr>
          <w:rStyle w:val="FootnoteReference"/>
          <w:rFonts w:asciiTheme="minorHAnsi" w:hAnsiTheme="minorHAnsi"/>
        </w:rPr>
        <w:footnoteRef/>
      </w:r>
      <w:r w:rsidRPr="00703A7B">
        <w:rPr>
          <w:rFonts w:asciiTheme="minorHAnsi" w:hAnsiTheme="minorHAnsi"/>
          <w:lang w:val="el-GR"/>
        </w:rPr>
        <w:t xml:space="preserve"> Ευρωπαϊκή Επιτροπή, Ευρωπαϊκό Εξάμηνο 2017: Έκθεση Χώρας – Κύπρος. </w:t>
      </w:r>
      <w:r w:rsidRPr="00703A7B">
        <w:rPr>
          <w:rFonts w:asciiTheme="minorHAnsi" w:hAnsiTheme="minorHAnsi"/>
        </w:rPr>
        <w:t>SWD</w:t>
      </w:r>
      <w:r w:rsidRPr="00703A7B">
        <w:rPr>
          <w:rFonts w:asciiTheme="minorHAnsi" w:hAnsiTheme="minorHAnsi"/>
          <w:lang w:val="el-GR"/>
        </w:rPr>
        <w:t xml:space="preserve">(2017)78 </w:t>
      </w:r>
      <w:r w:rsidRPr="00703A7B">
        <w:rPr>
          <w:rFonts w:asciiTheme="minorHAnsi" w:hAnsiTheme="minorHAnsi"/>
        </w:rPr>
        <w:t>final</w:t>
      </w:r>
    </w:p>
  </w:footnote>
  <w:footnote w:id="10">
    <w:p w14:paraId="503C2C33" w14:textId="77777777" w:rsidR="004B4292" w:rsidRPr="0040101F" w:rsidRDefault="004B4292">
      <w:pPr>
        <w:pStyle w:val="FootnoteText"/>
        <w:rPr>
          <w:rFonts w:ascii="Calibri" w:hAnsi="Calibri"/>
          <w:lang w:val="el-GR"/>
        </w:rPr>
      </w:pPr>
      <w:r w:rsidRPr="0040101F">
        <w:rPr>
          <w:rStyle w:val="FootnoteReference"/>
          <w:rFonts w:ascii="Calibri" w:hAnsi="Calibri"/>
        </w:rPr>
        <w:footnoteRef/>
      </w:r>
      <w:r w:rsidRPr="0040101F">
        <w:rPr>
          <w:rFonts w:ascii="Calibri" w:hAnsi="Calibri"/>
          <w:lang w:val="el-GR"/>
        </w:rPr>
        <w:t xml:space="preserve"> Σύμφωνα με το άρθρο 52 παράγραφος 2 στοιχείο β) του κανονισμού (ΕΕ) αριθ. 1303/2013.</w:t>
      </w:r>
    </w:p>
  </w:footnote>
  <w:footnote w:id="11">
    <w:p w14:paraId="2F788D8D" w14:textId="77777777" w:rsidR="004B4292" w:rsidRPr="00215334" w:rsidRDefault="004B4292" w:rsidP="00215334">
      <w:pPr>
        <w:pStyle w:val="FootnoteText"/>
        <w:ind w:left="142" w:hanging="142"/>
        <w:rPr>
          <w:lang w:val="el-GR"/>
        </w:rPr>
      </w:pPr>
      <w:r>
        <w:rPr>
          <w:rStyle w:val="FootnoteReference"/>
        </w:rPr>
        <w:footnoteRef/>
      </w:r>
      <w:r w:rsidRPr="00215334">
        <w:rPr>
          <w:lang w:val="el-GR"/>
        </w:rPr>
        <w:t xml:space="preserve"> </w:t>
      </w:r>
      <w:r w:rsidRPr="001833E9">
        <w:t>Eurostat</w:t>
      </w:r>
      <w:r w:rsidRPr="00215334">
        <w:rPr>
          <w:lang w:val="el-GR"/>
        </w:rPr>
        <w:t xml:space="preserve"> και Γενική Διεύθυνση Απασχόλησης, Κοινωνικών Υποθέσεων και Κοινωνικής Ένταξης, </w:t>
      </w:r>
      <w:r w:rsidRPr="001833E9">
        <w:rPr>
          <w:lang w:val="el-GR"/>
        </w:rPr>
        <w:t>“Employment and Social Developments in Europe, Annual Review 2016”</w:t>
      </w:r>
    </w:p>
  </w:footnote>
  <w:footnote w:id="12">
    <w:p w14:paraId="3EDB18B7" w14:textId="77777777" w:rsidR="004B4292" w:rsidRPr="00D3401D" w:rsidRDefault="004B4292" w:rsidP="00496867">
      <w:pPr>
        <w:pStyle w:val="FootnoteText"/>
        <w:rPr>
          <w:lang w:val="en-US"/>
        </w:rPr>
      </w:pPr>
      <w:r>
        <w:rPr>
          <w:rStyle w:val="FootnoteReference"/>
        </w:rPr>
        <w:footnoteRef/>
      </w:r>
      <w:r w:rsidRPr="00D3401D">
        <w:rPr>
          <w:lang w:val="en-US"/>
        </w:rPr>
        <w:t xml:space="preserve"> </w:t>
      </w:r>
      <w:r w:rsidRPr="00D3401D">
        <w:t>World Economic Forum, The Global Competitiveness Report, 2015-2016 &amp; 2016-2017.</w:t>
      </w:r>
    </w:p>
  </w:footnote>
  <w:footnote w:id="13">
    <w:p w14:paraId="764FEAAF" w14:textId="5EA654DE" w:rsidR="004B4292" w:rsidRPr="0040101F" w:rsidRDefault="004B4292" w:rsidP="00496867">
      <w:pPr>
        <w:pStyle w:val="FootnoteText"/>
        <w:rPr>
          <w:rFonts w:ascii="Calibri" w:hAnsi="Calibri"/>
          <w:lang w:val="el-GR"/>
        </w:rPr>
      </w:pPr>
      <w:r w:rsidRPr="0040101F">
        <w:rPr>
          <w:rStyle w:val="FootnoteReference"/>
          <w:rFonts w:ascii="Calibri" w:hAnsi="Calibri"/>
        </w:rPr>
        <w:footnoteRef/>
      </w:r>
      <w:r w:rsidRPr="0040101F">
        <w:rPr>
          <w:rFonts w:ascii="Calibri" w:hAnsi="Calibri"/>
          <w:lang w:val="el-GR"/>
        </w:rPr>
        <w:t xml:space="preserve"> Αυτό περιλαμβάνει επίσης τους πόρους </w:t>
      </w:r>
      <w:r>
        <w:rPr>
          <w:rFonts w:ascii="Calibri" w:hAnsi="Calibri"/>
          <w:lang w:val="el-GR"/>
        </w:rPr>
        <w:t xml:space="preserve">της </w:t>
      </w:r>
      <w:r w:rsidRPr="0040101F">
        <w:rPr>
          <w:rFonts w:ascii="Calibri" w:hAnsi="Calibri"/>
          <w:lang w:val="el-GR"/>
        </w:rPr>
        <w:t>ΠΑΝ (ειδικό κονδύλι για την ΠΑΝ και αντίστοιχη στήριξη του ΕΚΤ).</w:t>
      </w:r>
    </w:p>
  </w:footnote>
  <w:footnote w:id="14">
    <w:p w14:paraId="72EB4357" w14:textId="77777777" w:rsidR="004B4292" w:rsidRPr="0040101F" w:rsidRDefault="004B4292" w:rsidP="00496867">
      <w:pPr>
        <w:pStyle w:val="FootnoteText"/>
        <w:rPr>
          <w:rFonts w:ascii="Calibri" w:hAnsi="Calibri"/>
          <w:lang w:val="el-GR"/>
        </w:rPr>
      </w:pPr>
      <w:r w:rsidRPr="0040101F">
        <w:rPr>
          <w:rStyle w:val="FootnoteReference"/>
          <w:rFonts w:ascii="Calibri" w:hAnsi="Calibri"/>
        </w:rPr>
        <w:footnoteRef/>
      </w:r>
      <w:r w:rsidRPr="0040101F">
        <w:rPr>
          <w:rFonts w:ascii="Calibri" w:hAnsi="Calibri"/>
          <w:lang w:val="el-GR"/>
        </w:rPr>
        <w:t xml:space="preserve"> Για τον σκοπό του παρόντος πίνακα, η ΠΑΝ (ειδικό κονδύλι και αντίστοιχη στήριξη του ΕΚΤ) θεωρείται Ταμείο.</w:t>
      </w:r>
    </w:p>
  </w:footnote>
  <w:footnote w:id="15">
    <w:p w14:paraId="468365E7" w14:textId="77777777" w:rsidR="004B4292" w:rsidRPr="00537901" w:rsidRDefault="004B4292" w:rsidP="00620375">
      <w:pPr>
        <w:pStyle w:val="FootnoteText"/>
        <w:rPr>
          <w:rFonts w:ascii="Calibri" w:hAnsi="Calibri"/>
          <w:lang w:val="el-GR"/>
        </w:rPr>
      </w:pPr>
      <w:r w:rsidRPr="00537901">
        <w:rPr>
          <w:rStyle w:val="FootnoteReference"/>
          <w:rFonts w:ascii="Calibri" w:hAnsi="Calibri"/>
        </w:rPr>
        <w:footnoteRef/>
      </w:r>
      <w:r w:rsidRPr="00537901">
        <w:rPr>
          <w:rFonts w:ascii="Calibri" w:hAnsi="Calibri"/>
          <w:lang w:val="el-GR"/>
        </w:rPr>
        <w:t xml:space="preserve"> Σύμφωνα με το </w:t>
      </w:r>
      <w:r>
        <w:rPr>
          <w:rFonts w:ascii="Calibri" w:hAnsi="Calibri"/>
          <w:lang w:val="el-GR"/>
        </w:rPr>
        <w:t>άρθρο 52 παράγραφος 2 στοιχείο ε</w:t>
      </w:r>
      <w:r w:rsidRPr="00537901">
        <w:rPr>
          <w:rFonts w:ascii="Calibri" w:hAnsi="Calibri"/>
          <w:lang w:val="el-GR"/>
        </w:rPr>
        <w:t>) του κανονισμού (ΕΕ) αριθ. 1303/2013</w:t>
      </w:r>
    </w:p>
  </w:footnote>
  <w:footnote w:id="16">
    <w:p w14:paraId="39E92E27" w14:textId="77777777" w:rsidR="004B4292" w:rsidRPr="00537901" w:rsidRDefault="004B4292" w:rsidP="008931C8">
      <w:pPr>
        <w:pStyle w:val="FootnoteText"/>
        <w:rPr>
          <w:rFonts w:ascii="Calibri" w:hAnsi="Calibri"/>
          <w:lang w:val="el-GR"/>
        </w:rPr>
      </w:pPr>
      <w:r w:rsidRPr="00537901">
        <w:rPr>
          <w:rStyle w:val="FootnoteReference"/>
          <w:rFonts w:ascii="Calibri" w:hAnsi="Calibri"/>
        </w:rPr>
        <w:footnoteRef/>
      </w:r>
      <w:r w:rsidRPr="00537901">
        <w:rPr>
          <w:rFonts w:ascii="Calibri" w:hAnsi="Calibri"/>
          <w:lang w:val="el-GR"/>
        </w:rPr>
        <w:t xml:space="preserve"> Σύμφωνα με το </w:t>
      </w:r>
      <w:r>
        <w:rPr>
          <w:rFonts w:ascii="Calibri" w:hAnsi="Calibri"/>
          <w:lang w:val="el-GR"/>
        </w:rPr>
        <w:t>άρθρο 52 παράγραφος 2 στοιχείο στ</w:t>
      </w:r>
      <w:r w:rsidRPr="00537901">
        <w:rPr>
          <w:rFonts w:ascii="Calibri" w:hAnsi="Calibri"/>
          <w:lang w:val="el-GR"/>
        </w:rPr>
        <w:t>) του κανονισμού (ΕΕ) αριθ. 1303/2013</w:t>
      </w:r>
    </w:p>
  </w:footnote>
  <w:footnote w:id="17">
    <w:p w14:paraId="419C62D6" w14:textId="77777777" w:rsidR="004B4292" w:rsidRPr="00537901" w:rsidRDefault="004B4292" w:rsidP="008931C8">
      <w:pPr>
        <w:pStyle w:val="FootnoteText"/>
        <w:rPr>
          <w:rFonts w:ascii="Calibri" w:hAnsi="Calibri"/>
          <w:lang w:val="el-GR"/>
        </w:rPr>
      </w:pPr>
      <w:r w:rsidRPr="00537901">
        <w:rPr>
          <w:rStyle w:val="FootnoteReference"/>
          <w:rFonts w:ascii="Calibri" w:hAnsi="Calibri"/>
        </w:rPr>
        <w:footnoteRef/>
      </w:r>
      <w:r w:rsidRPr="00537901">
        <w:rPr>
          <w:rFonts w:ascii="Calibri" w:hAnsi="Calibri"/>
          <w:lang w:val="el-GR"/>
        </w:rPr>
        <w:t xml:space="preserve"> Σύμφωνα με το </w:t>
      </w:r>
      <w:r>
        <w:rPr>
          <w:rFonts w:ascii="Calibri" w:hAnsi="Calibri"/>
          <w:lang w:val="el-GR"/>
        </w:rPr>
        <w:t>άρθρο 52 παράγραφος 2 στοιχείο ζ</w:t>
      </w:r>
      <w:r w:rsidRPr="00537901">
        <w:rPr>
          <w:rFonts w:ascii="Calibri" w:hAnsi="Calibri"/>
          <w:lang w:val="el-GR"/>
        </w:rPr>
        <w:t>) του κανονισμού (ΕΕ) αριθ. 1303/2013</w:t>
      </w:r>
    </w:p>
  </w:footnote>
  <w:footnote w:id="18">
    <w:p w14:paraId="412F7035" w14:textId="77777777" w:rsidR="001C18AE" w:rsidRPr="00537901" w:rsidRDefault="001C18AE" w:rsidP="001C18AE">
      <w:pPr>
        <w:pStyle w:val="FootnoteText"/>
        <w:rPr>
          <w:rFonts w:ascii="Calibri" w:hAnsi="Calibri"/>
          <w:lang w:val="el-GR"/>
        </w:rPr>
      </w:pPr>
      <w:r w:rsidRPr="00537901">
        <w:rPr>
          <w:rStyle w:val="FootnoteReference"/>
          <w:rFonts w:ascii="Calibri" w:hAnsi="Calibri"/>
        </w:rPr>
        <w:footnoteRef/>
      </w:r>
      <w:r w:rsidRPr="00537901">
        <w:rPr>
          <w:rFonts w:ascii="Calibri" w:hAnsi="Calibri"/>
          <w:lang w:val="el-GR"/>
        </w:rPr>
        <w:t xml:space="preserve"> Σύμφωνα με το </w:t>
      </w:r>
      <w:r>
        <w:rPr>
          <w:rFonts w:ascii="Calibri" w:hAnsi="Calibri"/>
          <w:lang w:val="el-GR"/>
        </w:rPr>
        <w:t>άρθρο 52, παράγραφος 2, στοιχείο η</w:t>
      </w:r>
      <w:r w:rsidRPr="00537901">
        <w:rPr>
          <w:rFonts w:ascii="Calibri" w:hAnsi="Calibri"/>
          <w:lang w:val="el-GR"/>
        </w:rPr>
        <w:t>) του κανονισμού (ΕΕ) αριθ. 1303/2013</w:t>
      </w:r>
    </w:p>
  </w:footnote>
  <w:footnote w:id="19">
    <w:p w14:paraId="50F41B46" w14:textId="77777777" w:rsidR="001C18AE" w:rsidRPr="00537901" w:rsidRDefault="001C18AE" w:rsidP="001C18AE">
      <w:pPr>
        <w:pStyle w:val="FootnoteText"/>
        <w:rPr>
          <w:rFonts w:ascii="Calibri" w:hAnsi="Calibri"/>
          <w:lang w:val="el-GR"/>
        </w:rPr>
      </w:pPr>
      <w:r w:rsidRPr="00537901">
        <w:rPr>
          <w:rStyle w:val="FootnoteReference"/>
          <w:rFonts w:ascii="Calibri" w:hAnsi="Calibri"/>
        </w:rPr>
        <w:footnoteRef/>
      </w:r>
      <w:r w:rsidRPr="00537901">
        <w:rPr>
          <w:rFonts w:ascii="Calibri" w:hAnsi="Calibri"/>
          <w:lang w:val="el-GR"/>
        </w:rPr>
        <w:t xml:space="preserve"> Σύμφωνα με το </w:t>
      </w:r>
      <w:r>
        <w:rPr>
          <w:rFonts w:ascii="Calibri" w:hAnsi="Calibri"/>
          <w:lang w:val="el-GR"/>
        </w:rPr>
        <w:t>άρθρο 52 παράγραφος 2 στοιχείο θ</w:t>
      </w:r>
      <w:r w:rsidRPr="00537901">
        <w:rPr>
          <w:rFonts w:ascii="Calibri" w:hAnsi="Calibri"/>
          <w:lang w:val="el-GR"/>
        </w:rPr>
        <w:t>) του κανονισμού (ΕΕ) αριθ. 1303/2013</w:t>
      </w:r>
    </w:p>
  </w:footnote>
  <w:footnote w:id="20">
    <w:p w14:paraId="3D9135A6" w14:textId="77777777" w:rsidR="004B4292" w:rsidRPr="0040101F" w:rsidRDefault="004B4292" w:rsidP="001073E0">
      <w:pPr>
        <w:pStyle w:val="FootnoteText"/>
        <w:ind w:left="0" w:firstLine="0"/>
        <w:rPr>
          <w:rFonts w:ascii="Calibri" w:hAnsi="Calibri"/>
          <w:lang w:val="el-GR"/>
        </w:rPr>
      </w:pPr>
      <w:r w:rsidRPr="0040101F">
        <w:rPr>
          <w:rStyle w:val="FootnoteReference"/>
          <w:rFonts w:ascii="Calibri" w:hAnsi="Calibri"/>
        </w:rPr>
        <w:footnoteRef/>
      </w:r>
      <w:r w:rsidRPr="0040101F">
        <w:rPr>
          <w:rFonts w:ascii="Calibri" w:hAnsi="Calibri"/>
          <w:lang w:val="el-GR"/>
        </w:rPr>
        <w:t xml:space="preserve"> για τους σκοπούς του άρθρου 19 παράγραφος 5 του κανονισμού (ΕΕ) αριθ. </w:t>
      </w:r>
      <w:r w:rsidRPr="00EB6573">
        <w:rPr>
          <w:rFonts w:ascii="Calibri" w:hAnsi="Calibri"/>
          <w:lang w:val="el-GR"/>
        </w:rPr>
        <w:t>1304/2013 του Ευρωπαϊκού Κοινοβουλίου και του Συμβουλίου</w:t>
      </w:r>
    </w:p>
  </w:footnote>
  <w:footnote w:id="21">
    <w:p w14:paraId="06C3F9E0" w14:textId="77777777" w:rsidR="004B4292" w:rsidRPr="00537901" w:rsidRDefault="004B4292" w:rsidP="001073E0">
      <w:pPr>
        <w:pStyle w:val="FootnoteText"/>
        <w:rPr>
          <w:rFonts w:ascii="Calibri" w:hAnsi="Calibri"/>
          <w:lang w:val="el-GR"/>
        </w:rPr>
      </w:pPr>
      <w:r w:rsidRPr="00537901">
        <w:rPr>
          <w:rStyle w:val="FootnoteReference"/>
          <w:rFonts w:ascii="Calibri" w:hAnsi="Calibri"/>
        </w:rPr>
        <w:footnoteRef/>
      </w:r>
      <w:r w:rsidRPr="00537901">
        <w:rPr>
          <w:rFonts w:ascii="Calibri" w:hAnsi="Calibri"/>
          <w:lang w:val="el-GR"/>
        </w:rPr>
        <w:t xml:space="preserve"> Σύμφωνα με το </w:t>
      </w:r>
      <w:r>
        <w:rPr>
          <w:rFonts w:ascii="Calibri" w:hAnsi="Calibri"/>
          <w:lang w:val="el-GR"/>
        </w:rPr>
        <w:t>ά</w:t>
      </w:r>
      <w:r w:rsidRPr="008230FA">
        <w:rPr>
          <w:rFonts w:ascii="Calibri" w:hAnsi="Calibri"/>
          <w:lang w:val="el-GR"/>
        </w:rPr>
        <w:t xml:space="preserve">ρθρο 19 παράγραφος 5 του </w:t>
      </w:r>
      <w:r>
        <w:rPr>
          <w:rFonts w:ascii="Calibri" w:hAnsi="Calibri"/>
          <w:lang w:val="el-GR"/>
        </w:rPr>
        <w:t>κανονισμού (ΕΕ) αριθ. 1304/2013</w:t>
      </w:r>
    </w:p>
  </w:footnote>
  <w:footnote w:id="22">
    <w:p w14:paraId="2755AE50" w14:textId="77777777" w:rsidR="004B4292" w:rsidRPr="00537901" w:rsidRDefault="004B4292" w:rsidP="00095CB3">
      <w:pPr>
        <w:pStyle w:val="FootnoteText"/>
        <w:ind w:left="0" w:firstLine="0"/>
        <w:rPr>
          <w:rFonts w:ascii="Calibri" w:hAnsi="Calibri"/>
          <w:lang w:val="el-GR"/>
        </w:rPr>
      </w:pPr>
      <w:r w:rsidRPr="00537901">
        <w:rPr>
          <w:rStyle w:val="FootnoteReference"/>
          <w:rFonts w:ascii="Calibri" w:hAnsi="Calibri"/>
        </w:rPr>
        <w:footnoteRef/>
      </w:r>
      <w:r w:rsidRPr="00537901">
        <w:rPr>
          <w:rFonts w:ascii="Calibri" w:hAnsi="Calibri"/>
          <w:lang w:val="el-GR"/>
        </w:rPr>
        <w:t xml:space="preserve"> Σύμφωνα με το </w:t>
      </w:r>
      <w:r>
        <w:rPr>
          <w:rFonts w:ascii="Calibri" w:hAnsi="Calibri"/>
          <w:lang w:val="el-GR"/>
        </w:rPr>
        <w:t>άρθρο</w:t>
      </w:r>
      <w:r w:rsidRPr="00095CB3">
        <w:rPr>
          <w:rFonts w:ascii="Calibri" w:hAnsi="Calibri"/>
          <w:lang w:val="el-GR"/>
        </w:rPr>
        <w:t xml:space="preserve"> 111 παράγραφος 4 του κανονισμού (ΕΕ) αριθ. 1303/2013, συμπεριλαμβανομένης, όπου απαιτείται, της συμπλήρωσης των υπόλοιπων τμημάτων της έκθεσης  προόδου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952"/>
      <w:gridCol w:w="2952"/>
      <w:gridCol w:w="2952"/>
    </w:tblGrid>
    <w:tr w:rsidR="004B4292" w:rsidRPr="0085134E" w14:paraId="1EBE7D1B" w14:textId="77777777" w:rsidTr="00CF0CCA">
      <w:trPr>
        <w:jc w:val="center"/>
      </w:trPr>
      <w:tc>
        <w:tcPr>
          <w:tcW w:w="2952" w:type="dxa"/>
          <w:vAlign w:val="center"/>
        </w:tcPr>
        <w:p w14:paraId="47C1C814" w14:textId="2A5F80D0" w:rsidR="004B4292" w:rsidRPr="0085134E" w:rsidRDefault="004B4292" w:rsidP="001B7D20">
          <w:pPr>
            <w:pStyle w:val="Header"/>
            <w:tabs>
              <w:tab w:val="clear" w:pos="4680"/>
              <w:tab w:val="left" w:pos="1892"/>
              <w:tab w:val="center" w:pos="5040"/>
            </w:tabs>
            <w:jc w:val="center"/>
            <w:rPr>
              <w:lang w:val="el-GR"/>
            </w:rPr>
          </w:pPr>
          <w:r w:rsidRPr="00527A90">
            <w:rPr>
              <w:noProof/>
              <w:lang w:val="el-GR" w:eastAsia="el-GR"/>
            </w:rPr>
            <w:drawing>
              <wp:inline distT="0" distB="0" distL="0" distR="0" wp14:anchorId="046A28FD" wp14:editId="0753869A">
                <wp:extent cx="914400" cy="876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tc>
      <w:tc>
        <w:tcPr>
          <w:tcW w:w="2952" w:type="dxa"/>
          <w:vAlign w:val="center"/>
        </w:tcPr>
        <w:p w14:paraId="70258A18" w14:textId="42029A80" w:rsidR="004B4292" w:rsidRPr="0085134E" w:rsidRDefault="004B4292" w:rsidP="001B7D20">
          <w:pPr>
            <w:pStyle w:val="Header"/>
            <w:tabs>
              <w:tab w:val="clear" w:pos="4680"/>
              <w:tab w:val="left" w:pos="1892"/>
              <w:tab w:val="center" w:pos="5040"/>
            </w:tabs>
            <w:jc w:val="center"/>
            <w:rPr>
              <w:lang w:val="el-GR"/>
            </w:rPr>
          </w:pPr>
          <w:r w:rsidRPr="00527A90">
            <w:rPr>
              <w:noProof/>
              <w:lang w:val="el-GR" w:eastAsia="el-GR"/>
            </w:rPr>
            <w:drawing>
              <wp:inline distT="0" distB="0" distL="0" distR="0" wp14:anchorId="77B33558" wp14:editId="534CBD2F">
                <wp:extent cx="1028700" cy="876300"/>
                <wp:effectExtent l="0" t="0" r="0" b="0"/>
                <wp:docPr id="2" name="Picture 6" descr="http://www.structuralfunds.org.cy/imagefiles/Logos/CYPRUS-REPUBLIC-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ructuralfunds.org.cy/imagefiles/Logos/CYPRUS-REPUBLIC-LOGO_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876300"/>
                        </a:xfrm>
                        <a:prstGeom prst="rect">
                          <a:avLst/>
                        </a:prstGeom>
                        <a:noFill/>
                        <a:ln>
                          <a:noFill/>
                        </a:ln>
                      </pic:spPr>
                    </pic:pic>
                  </a:graphicData>
                </a:graphic>
              </wp:inline>
            </w:drawing>
          </w:r>
        </w:p>
      </w:tc>
      <w:tc>
        <w:tcPr>
          <w:tcW w:w="2952" w:type="dxa"/>
          <w:vAlign w:val="center"/>
        </w:tcPr>
        <w:p w14:paraId="6B2FAAF6" w14:textId="41292B36" w:rsidR="004B4292" w:rsidRPr="0085134E" w:rsidRDefault="004B4292" w:rsidP="001B7D20">
          <w:pPr>
            <w:pStyle w:val="Header"/>
            <w:tabs>
              <w:tab w:val="clear" w:pos="4680"/>
              <w:tab w:val="left" w:pos="1892"/>
              <w:tab w:val="center" w:pos="5040"/>
            </w:tabs>
            <w:jc w:val="center"/>
            <w:rPr>
              <w:lang w:val="el-GR"/>
            </w:rPr>
          </w:pPr>
          <w:r w:rsidRPr="00527A90">
            <w:rPr>
              <w:noProof/>
              <w:lang w:val="el-GR" w:eastAsia="el-GR"/>
            </w:rPr>
            <w:drawing>
              <wp:inline distT="0" distB="0" distL="0" distR="0" wp14:anchorId="31125D17" wp14:editId="27995A47">
                <wp:extent cx="1323975" cy="809625"/>
                <wp:effectExtent l="0" t="0" r="0" b="0"/>
                <wp:docPr id="3" name="Picture 9" descr="http://www.structuralfunds.org.cy/imagefiles/Logos/%CE%94%CE%A4-%CE%95%CE%95-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ructuralfunds.org.cy/imagefiles/Logos/%CE%94%CE%A4-%CE%95%CE%95-LOGO_c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3975" cy="809625"/>
                        </a:xfrm>
                        <a:prstGeom prst="rect">
                          <a:avLst/>
                        </a:prstGeom>
                        <a:noFill/>
                        <a:ln>
                          <a:noFill/>
                        </a:ln>
                      </pic:spPr>
                    </pic:pic>
                  </a:graphicData>
                </a:graphic>
              </wp:inline>
            </w:drawing>
          </w:r>
        </w:p>
      </w:tc>
    </w:tr>
  </w:tbl>
  <w:p w14:paraId="0CD23147" w14:textId="77777777" w:rsidR="004B4292" w:rsidRDefault="004B4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AA1C" w14:textId="77777777" w:rsidR="004B4292" w:rsidRDefault="004B4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8E3A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02C06"/>
    <w:multiLevelType w:val="hybridMultilevel"/>
    <w:tmpl w:val="58947B82"/>
    <w:lvl w:ilvl="0" w:tplc="08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71755F"/>
    <w:multiLevelType w:val="hybridMultilevel"/>
    <w:tmpl w:val="1F5E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23CF5"/>
    <w:multiLevelType w:val="hybridMultilevel"/>
    <w:tmpl w:val="034496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A54E0"/>
    <w:multiLevelType w:val="hybridMultilevel"/>
    <w:tmpl w:val="DC3EE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973ACC"/>
    <w:multiLevelType w:val="hybridMultilevel"/>
    <w:tmpl w:val="1520B4CE"/>
    <w:lvl w:ilvl="0" w:tplc="0408001B">
      <w:start w:val="1"/>
      <w:numFmt w:val="lowerRoman"/>
      <w:lvlText w:val="%1."/>
      <w:lvlJc w:val="righ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15:restartNumberingAfterBreak="0">
    <w:nsid w:val="12A60C7F"/>
    <w:multiLevelType w:val="hybridMultilevel"/>
    <w:tmpl w:val="32F8BEC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40F3837"/>
    <w:multiLevelType w:val="hybridMultilevel"/>
    <w:tmpl w:val="C7AA3C12"/>
    <w:lvl w:ilvl="0" w:tplc="D818B0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80CA0"/>
    <w:multiLevelType w:val="hybridMultilevel"/>
    <w:tmpl w:val="0E88B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6894DE6"/>
    <w:multiLevelType w:val="hybridMultilevel"/>
    <w:tmpl w:val="0F92DA8A"/>
    <w:lvl w:ilvl="0" w:tplc="0409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b/>
        <w:color w:val="00000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583192"/>
    <w:multiLevelType w:val="hybridMultilevel"/>
    <w:tmpl w:val="32F690B4"/>
    <w:lvl w:ilvl="0" w:tplc="0809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9092925"/>
    <w:multiLevelType w:val="hybridMultilevel"/>
    <w:tmpl w:val="761EEC4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991B83"/>
    <w:multiLevelType w:val="hybridMultilevel"/>
    <w:tmpl w:val="465248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3F0FB9"/>
    <w:multiLevelType w:val="hybridMultilevel"/>
    <w:tmpl w:val="DA44002A"/>
    <w:lvl w:ilvl="0" w:tplc="08D06A8E">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96E223F"/>
    <w:multiLevelType w:val="hybridMultilevel"/>
    <w:tmpl w:val="3FF2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B1F96"/>
    <w:multiLevelType w:val="multilevel"/>
    <w:tmpl w:val="85D8227E"/>
    <w:lvl w:ilvl="0">
      <w:start w:val="1"/>
      <w:numFmt w:val="lowerRoman"/>
      <w:lvlText w:val="%1."/>
      <w:lvlJc w:val="right"/>
      <w:pPr>
        <w:tabs>
          <w:tab w:val="num" w:pos="1134"/>
        </w:tabs>
        <w:ind w:left="1134" w:hanging="850"/>
      </w:pPr>
      <w:rPr>
        <w:rFonts w:hint="default"/>
        <w:color w:val="auto"/>
      </w:rPr>
    </w:lvl>
    <w:lvl w:ilvl="1">
      <w:start w:val="1"/>
      <w:numFmt w:val="decimal"/>
      <w:lvlText w:val="%1.%2."/>
      <w:lvlJc w:val="left"/>
      <w:pPr>
        <w:tabs>
          <w:tab w:val="num" w:pos="1570"/>
        </w:tabs>
        <w:ind w:left="1570" w:hanging="850"/>
      </w:pPr>
      <w:rPr>
        <w:rFonts w:ascii="Calibri" w:hAnsi="Calibri" w:hint="default"/>
      </w:rPr>
    </w:lvl>
    <w:lvl w:ilvl="2">
      <w:start w:val="1"/>
      <w:numFmt w:val="decimal"/>
      <w:lvlText w:val="%1.%2.%3."/>
      <w:lvlJc w:val="left"/>
      <w:pPr>
        <w:tabs>
          <w:tab w:val="num" w:pos="1570"/>
        </w:tabs>
        <w:ind w:left="1570" w:hanging="850"/>
      </w:pPr>
      <w:rPr>
        <w:rFonts w:hint="default"/>
        <w:color w:val="auto"/>
      </w:rPr>
    </w:lvl>
    <w:lvl w:ilvl="3">
      <w:start w:val="1"/>
      <w:numFmt w:val="decimal"/>
      <w:lvlText w:val="%1.%2.%3.%4."/>
      <w:lvlJc w:val="left"/>
      <w:pPr>
        <w:tabs>
          <w:tab w:val="num" w:pos="2290"/>
        </w:tabs>
        <w:ind w:left="2290" w:hanging="850"/>
      </w:pPr>
      <w:rPr>
        <w:rFonts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color w:val="auto"/>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01C4F5F"/>
    <w:multiLevelType w:val="multilevel"/>
    <w:tmpl w:val="2CE247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4351A0"/>
    <w:multiLevelType w:val="hybridMultilevel"/>
    <w:tmpl w:val="528061CE"/>
    <w:lvl w:ilvl="0" w:tplc="0409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005BC7"/>
    <w:multiLevelType w:val="hybridMultilevel"/>
    <w:tmpl w:val="24146A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DF10524"/>
    <w:multiLevelType w:val="hybridMultilevel"/>
    <w:tmpl w:val="8DEAD18A"/>
    <w:lvl w:ilvl="0" w:tplc="04080001">
      <w:start w:val="1"/>
      <w:numFmt w:val="bullet"/>
      <w:lvlText w:val=""/>
      <w:lvlJc w:val="left"/>
      <w:pPr>
        <w:ind w:left="720" w:hanging="360"/>
      </w:pPr>
      <w:rPr>
        <w:rFonts w:ascii="Symbol" w:hAnsi="Symbol" w:hint="default"/>
      </w:rPr>
    </w:lvl>
    <w:lvl w:ilvl="1" w:tplc="30687914">
      <w:numFmt w:val="bullet"/>
      <w:lvlText w:val="—"/>
      <w:lvlJc w:val="left"/>
      <w:pPr>
        <w:ind w:left="1800" w:hanging="720"/>
      </w:pPr>
      <w:rPr>
        <w:rFonts w:ascii="Calibri" w:eastAsia="Times New Roman" w:hAnsi="Calibri"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FC6587A"/>
    <w:multiLevelType w:val="multilevel"/>
    <w:tmpl w:val="2CE247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274EF8"/>
    <w:multiLevelType w:val="hybridMultilevel"/>
    <w:tmpl w:val="7FDA762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20504DA"/>
    <w:multiLevelType w:val="hybridMultilevel"/>
    <w:tmpl w:val="949E1208"/>
    <w:lvl w:ilvl="0" w:tplc="D946D226">
      <w:start w:val="1"/>
      <w:numFmt w:val="decimal"/>
      <w:lvlText w:val="%1."/>
      <w:lvlJc w:val="left"/>
      <w:pPr>
        <w:ind w:left="720" w:hanging="360"/>
      </w:pPr>
      <w:rPr>
        <w:rFonts w:hint="default"/>
        <w:b/>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351DF9"/>
    <w:multiLevelType w:val="hybridMultilevel"/>
    <w:tmpl w:val="44607950"/>
    <w:lvl w:ilvl="0" w:tplc="66D8F27C">
      <w:start w:val="1"/>
      <w:numFmt w:val="bullet"/>
      <w:lvlText w:val="-"/>
      <w:lvlJc w:val="left"/>
      <w:pPr>
        <w:ind w:left="1287" w:hanging="360"/>
      </w:pPr>
      <w:rPr>
        <w:rFonts w:ascii="StempelGaramond Roman" w:hAnsi="StempelGaramond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3652CD8"/>
    <w:multiLevelType w:val="hybridMultilevel"/>
    <w:tmpl w:val="4D28850C"/>
    <w:lvl w:ilvl="0" w:tplc="66D8F27C">
      <w:start w:val="1"/>
      <w:numFmt w:val="bullet"/>
      <w:lvlText w:val="-"/>
      <w:lvlJc w:val="left"/>
      <w:pPr>
        <w:ind w:left="953" w:hanging="360"/>
      </w:pPr>
      <w:rPr>
        <w:rFonts w:ascii="StempelGaramond Roman" w:hAnsi="StempelGaramond Roman"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25" w15:restartNumberingAfterBreak="0">
    <w:nsid w:val="4DCE19D8"/>
    <w:multiLevelType w:val="hybridMultilevel"/>
    <w:tmpl w:val="B80ADB4E"/>
    <w:lvl w:ilvl="0" w:tplc="D946D226">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541409"/>
    <w:multiLevelType w:val="hybridMultilevel"/>
    <w:tmpl w:val="99DC36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3EF4C38"/>
    <w:multiLevelType w:val="multilevel"/>
    <w:tmpl w:val="C67896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5DA421B"/>
    <w:multiLevelType w:val="hybridMultilevel"/>
    <w:tmpl w:val="98D0F6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B85544B"/>
    <w:multiLevelType w:val="hybridMultilevel"/>
    <w:tmpl w:val="1DFA6308"/>
    <w:lvl w:ilvl="0" w:tplc="0408001B">
      <w:start w:val="1"/>
      <w:numFmt w:val="lowerRoman"/>
      <w:lvlText w:val="%1."/>
      <w:lvlJc w:val="righ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0" w15:restartNumberingAfterBreak="0">
    <w:nsid w:val="5EF23E32"/>
    <w:multiLevelType w:val="hybridMultilevel"/>
    <w:tmpl w:val="7AACAA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227559"/>
    <w:multiLevelType w:val="hybridMultilevel"/>
    <w:tmpl w:val="1DFA6308"/>
    <w:lvl w:ilvl="0" w:tplc="0408001B">
      <w:start w:val="1"/>
      <w:numFmt w:val="lowerRoman"/>
      <w:lvlText w:val="%1."/>
      <w:lvlJc w:val="righ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2" w15:restartNumberingAfterBreak="0">
    <w:nsid w:val="648F002C"/>
    <w:multiLevelType w:val="hybridMultilevel"/>
    <w:tmpl w:val="B55E7E58"/>
    <w:lvl w:ilvl="0" w:tplc="38F0A3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4A12FA4"/>
    <w:multiLevelType w:val="multilevel"/>
    <w:tmpl w:val="301ABF80"/>
    <w:lvl w:ilvl="0">
      <w:start w:val="1"/>
      <w:numFmt w:val="decimal"/>
      <w:lvlRestart w:val="0"/>
      <w:pStyle w:val="Heading1"/>
      <w:lvlText w:val="%1."/>
      <w:lvlJc w:val="left"/>
      <w:pPr>
        <w:tabs>
          <w:tab w:val="num" w:pos="850"/>
        </w:tabs>
        <w:ind w:left="850" w:hanging="850"/>
      </w:pPr>
      <w:rPr>
        <w:rFonts w:ascii="Calibri" w:hAnsi="Calibri" w:cs="Calibri" w:hint="default"/>
        <w:color w:val="FFFFFF"/>
      </w:rPr>
    </w:lvl>
    <w:lvl w:ilvl="1">
      <w:start w:val="1"/>
      <w:numFmt w:val="decimal"/>
      <w:pStyle w:val="Heading2"/>
      <w:lvlText w:val="%1.%2."/>
      <w:lvlJc w:val="left"/>
      <w:pPr>
        <w:tabs>
          <w:tab w:val="num" w:pos="850"/>
        </w:tabs>
        <w:ind w:left="850" w:hanging="850"/>
      </w:pPr>
      <w:rPr>
        <w:rFonts w:ascii="Calibri" w:hAnsi="Calibri" w:hint="default"/>
      </w:rPr>
    </w:lvl>
    <w:lvl w:ilvl="2">
      <w:start w:val="1"/>
      <w:numFmt w:val="decimal"/>
      <w:pStyle w:val="Heading3"/>
      <w:lvlText w:val="%1.%2.%3."/>
      <w:lvlJc w:val="left"/>
      <w:pPr>
        <w:tabs>
          <w:tab w:val="num" w:pos="850"/>
        </w:tabs>
        <w:ind w:left="850" w:hanging="850"/>
      </w:pPr>
      <w:rPr>
        <w:rFonts w:hint="default"/>
        <w:color w:val="auto"/>
      </w:rPr>
    </w:lvl>
    <w:lvl w:ilvl="3">
      <w:start w:val="1"/>
      <w:numFmt w:val="decimal"/>
      <w:pStyle w:val="Heading4"/>
      <w:lvlText w:val="%1.%2.%3.%4."/>
      <w:lvlJc w:val="left"/>
      <w:pPr>
        <w:tabs>
          <w:tab w:val="num" w:pos="1570"/>
        </w:tabs>
        <w:ind w:left="1570" w:hanging="85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7D22958"/>
    <w:multiLevelType w:val="hybridMultilevel"/>
    <w:tmpl w:val="A3A22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A3D763A"/>
    <w:multiLevelType w:val="hybridMultilevel"/>
    <w:tmpl w:val="B66E3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F349BA"/>
    <w:multiLevelType w:val="hybridMultilevel"/>
    <w:tmpl w:val="56C43034"/>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223710B"/>
    <w:multiLevelType w:val="hybridMultilevel"/>
    <w:tmpl w:val="E3BEA202"/>
    <w:lvl w:ilvl="0" w:tplc="ED0C980C">
      <w:start w:val="1"/>
      <w:numFmt w:val="bullet"/>
      <w:lvlText w:val="-"/>
      <w:lvlJc w:val="left"/>
      <w:pPr>
        <w:ind w:left="1212" w:hanging="360"/>
      </w:pPr>
      <w:rPr>
        <w:rFonts w:ascii="Calibri" w:eastAsia="Times New Roman" w:hAnsi="Calibri" w:cs="Calibri" w:hint="default"/>
        <w:u w:val="none"/>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9" w15:restartNumberingAfterBreak="0">
    <w:nsid w:val="74971219"/>
    <w:multiLevelType w:val="hybridMultilevel"/>
    <w:tmpl w:val="D65AEC20"/>
    <w:lvl w:ilvl="0" w:tplc="D3889D10">
      <w:start w:val="1"/>
      <w:numFmt w:val="lowerRoman"/>
      <w:lvlText w:val="%1."/>
      <w:lvlJc w:val="left"/>
      <w:pPr>
        <w:ind w:left="1448" w:hanging="360"/>
      </w:pPr>
      <w:rPr>
        <w:rFonts w:hint="default"/>
      </w:rPr>
    </w:lvl>
    <w:lvl w:ilvl="1" w:tplc="04080019" w:tentative="1">
      <w:start w:val="1"/>
      <w:numFmt w:val="lowerLetter"/>
      <w:lvlText w:val="%2."/>
      <w:lvlJc w:val="left"/>
      <w:pPr>
        <w:ind w:left="2168" w:hanging="360"/>
      </w:pPr>
    </w:lvl>
    <w:lvl w:ilvl="2" w:tplc="0408001B" w:tentative="1">
      <w:start w:val="1"/>
      <w:numFmt w:val="lowerRoman"/>
      <w:lvlText w:val="%3."/>
      <w:lvlJc w:val="right"/>
      <w:pPr>
        <w:ind w:left="2888" w:hanging="180"/>
      </w:pPr>
    </w:lvl>
    <w:lvl w:ilvl="3" w:tplc="0408000F" w:tentative="1">
      <w:start w:val="1"/>
      <w:numFmt w:val="decimal"/>
      <w:lvlText w:val="%4."/>
      <w:lvlJc w:val="left"/>
      <w:pPr>
        <w:ind w:left="3608" w:hanging="360"/>
      </w:pPr>
    </w:lvl>
    <w:lvl w:ilvl="4" w:tplc="04080019" w:tentative="1">
      <w:start w:val="1"/>
      <w:numFmt w:val="lowerLetter"/>
      <w:lvlText w:val="%5."/>
      <w:lvlJc w:val="left"/>
      <w:pPr>
        <w:ind w:left="4328" w:hanging="360"/>
      </w:pPr>
    </w:lvl>
    <w:lvl w:ilvl="5" w:tplc="0408001B" w:tentative="1">
      <w:start w:val="1"/>
      <w:numFmt w:val="lowerRoman"/>
      <w:lvlText w:val="%6."/>
      <w:lvlJc w:val="right"/>
      <w:pPr>
        <w:ind w:left="5048" w:hanging="180"/>
      </w:pPr>
    </w:lvl>
    <w:lvl w:ilvl="6" w:tplc="0408000F" w:tentative="1">
      <w:start w:val="1"/>
      <w:numFmt w:val="decimal"/>
      <w:lvlText w:val="%7."/>
      <w:lvlJc w:val="left"/>
      <w:pPr>
        <w:ind w:left="5768" w:hanging="360"/>
      </w:pPr>
    </w:lvl>
    <w:lvl w:ilvl="7" w:tplc="04080019" w:tentative="1">
      <w:start w:val="1"/>
      <w:numFmt w:val="lowerLetter"/>
      <w:lvlText w:val="%8."/>
      <w:lvlJc w:val="left"/>
      <w:pPr>
        <w:ind w:left="6488" w:hanging="360"/>
      </w:pPr>
    </w:lvl>
    <w:lvl w:ilvl="8" w:tplc="0408001B" w:tentative="1">
      <w:start w:val="1"/>
      <w:numFmt w:val="lowerRoman"/>
      <w:lvlText w:val="%9."/>
      <w:lvlJc w:val="right"/>
      <w:pPr>
        <w:ind w:left="7208" w:hanging="180"/>
      </w:pPr>
    </w:lvl>
  </w:abstractNum>
  <w:abstractNum w:abstractNumId="40" w15:restartNumberingAfterBreak="0">
    <w:nsid w:val="78BD3E7B"/>
    <w:multiLevelType w:val="hybridMultilevel"/>
    <w:tmpl w:val="58A89960"/>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1" w15:restartNumberingAfterBreak="0">
    <w:nsid w:val="7BA670C1"/>
    <w:multiLevelType w:val="hybridMultilevel"/>
    <w:tmpl w:val="C918383E"/>
    <w:lvl w:ilvl="0" w:tplc="9930424E">
      <w:start w:val="1"/>
      <w:numFmt w:val="upperLetter"/>
      <w:lvlText w:val="%1."/>
      <w:lvlJc w:val="left"/>
      <w:pPr>
        <w:ind w:left="720" w:hanging="360"/>
      </w:pPr>
      <w:rPr>
        <w:rFonts w:ascii="Calibri" w:hAnsi="Calibri" w:hint="default"/>
        <w:b w:val="0"/>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F216A17"/>
    <w:multiLevelType w:val="hybridMultilevel"/>
    <w:tmpl w:val="7BD4E958"/>
    <w:lvl w:ilvl="0" w:tplc="883623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30"/>
  </w:num>
  <w:num w:numId="4">
    <w:abstractNumId w:val="25"/>
  </w:num>
  <w:num w:numId="5">
    <w:abstractNumId w:val="33"/>
  </w:num>
  <w:num w:numId="6">
    <w:abstractNumId w:val="22"/>
  </w:num>
  <w:num w:numId="7">
    <w:abstractNumId w:val="16"/>
  </w:num>
  <w:num w:numId="8">
    <w:abstractNumId w:val="42"/>
  </w:num>
  <w:num w:numId="9">
    <w:abstractNumId w:val="9"/>
  </w:num>
  <w:num w:numId="10">
    <w:abstractNumId w:val="11"/>
  </w:num>
  <w:num w:numId="11">
    <w:abstractNumId w:val="17"/>
  </w:num>
  <w:num w:numId="12">
    <w:abstractNumId w:val="10"/>
  </w:num>
  <w:num w:numId="13">
    <w:abstractNumId w:val="32"/>
  </w:num>
  <w:num w:numId="14">
    <w:abstractNumId w:val="12"/>
  </w:num>
  <w:num w:numId="15">
    <w:abstractNumId w:val="29"/>
  </w:num>
  <w:num w:numId="16">
    <w:abstractNumId w:val="38"/>
  </w:num>
  <w:num w:numId="17">
    <w:abstractNumId w:val="40"/>
  </w:num>
  <w:num w:numId="18">
    <w:abstractNumId w:val="31"/>
  </w:num>
  <w:num w:numId="19">
    <w:abstractNumId w:val="5"/>
  </w:num>
  <w:num w:numId="20">
    <w:abstractNumId w:val="8"/>
  </w:num>
  <w:num w:numId="21">
    <w:abstractNumId w:val="19"/>
  </w:num>
  <w:num w:numId="22">
    <w:abstractNumId w:val="26"/>
  </w:num>
  <w:num w:numId="23">
    <w:abstractNumId w:val="21"/>
  </w:num>
  <w:num w:numId="24">
    <w:abstractNumId w:val="14"/>
  </w:num>
  <w:num w:numId="25">
    <w:abstractNumId w:val="1"/>
  </w:num>
  <w:num w:numId="26">
    <w:abstractNumId w:val="18"/>
  </w:num>
  <w:num w:numId="27">
    <w:abstractNumId w:val="36"/>
  </w:num>
  <w:num w:numId="28">
    <w:abstractNumId w:val="28"/>
  </w:num>
  <w:num w:numId="29">
    <w:abstractNumId w:val="15"/>
  </w:num>
  <w:num w:numId="30">
    <w:abstractNumId w:val="35"/>
  </w:num>
  <w:num w:numId="31">
    <w:abstractNumId w:val="4"/>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4"/>
  </w:num>
  <w:num w:numId="36">
    <w:abstractNumId w:val="2"/>
  </w:num>
  <w:num w:numId="37">
    <w:abstractNumId w:val="13"/>
  </w:num>
  <w:num w:numId="38">
    <w:abstractNumId w:val="39"/>
  </w:num>
  <w:num w:numId="39">
    <w:abstractNumId w:val="3"/>
  </w:num>
  <w:num w:numId="40">
    <w:abstractNumId w:val="23"/>
  </w:num>
  <w:num w:numId="41">
    <w:abstractNumId w:val="7"/>
  </w:num>
  <w:num w:numId="42">
    <w:abstractNumId w:val="27"/>
  </w:num>
  <w:num w:numId="43">
    <w:abstractNumId w:val="33"/>
  </w:num>
  <w:num w:numId="44">
    <w:abstractNumId w:val="20"/>
  </w:num>
  <w:num w:numId="45">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C1"/>
    <w:rsid w:val="000003F8"/>
    <w:rsid w:val="00000779"/>
    <w:rsid w:val="000008CD"/>
    <w:rsid w:val="00000D73"/>
    <w:rsid w:val="0000117D"/>
    <w:rsid w:val="00001198"/>
    <w:rsid w:val="0000197D"/>
    <w:rsid w:val="00002FBE"/>
    <w:rsid w:val="00004439"/>
    <w:rsid w:val="000044B3"/>
    <w:rsid w:val="000045EC"/>
    <w:rsid w:val="00004A92"/>
    <w:rsid w:val="00004B86"/>
    <w:rsid w:val="00004EA4"/>
    <w:rsid w:val="00005A7A"/>
    <w:rsid w:val="000062E1"/>
    <w:rsid w:val="00006885"/>
    <w:rsid w:val="00006D63"/>
    <w:rsid w:val="00006E19"/>
    <w:rsid w:val="00010A99"/>
    <w:rsid w:val="00012E17"/>
    <w:rsid w:val="00012E4B"/>
    <w:rsid w:val="000131ED"/>
    <w:rsid w:val="0001392B"/>
    <w:rsid w:val="00016D4F"/>
    <w:rsid w:val="00017863"/>
    <w:rsid w:val="000178F0"/>
    <w:rsid w:val="00020983"/>
    <w:rsid w:val="00020F1E"/>
    <w:rsid w:val="0002568F"/>
    <w:rsid w:val="00027A8A"/>
    <w:rsid w:val="00030D30"/>
    <w:rsid w:val="00030D46"/>
    <w:rsid w:val="00031242"/>
    <w:rsid w:val="00031A9C"/>
    <w:rsid w:val="00031D0F"/>
    <w:rsid w:val="00032B7C"/>
    <w:rsid w:val="0003324B"/>
    <w:rsid w:val="0003427D"/>
    <w:rsid w:val="00034979"/>
    <w:rsid w:val="00035F13"/>
    <w:rsid w:val="00035F14"/>
    <w:rsid w:val="00036196"/>
    <w:rsid w:val="00037494"/>
    <w:rsid w:val="0003796E"/>
    <w:rsid w:val="000407FF"/>
    <w:rsid w:val="00040DF9"/>
    <w:rsid w:val="0004239B"/>
    <w:rsid w:val="000429ED"/>
    <w:rsid w:val="00042BBB"/>
    <w:rsid w:val="00047B4A"/>
    <w:rsid w:val="00047EE1"/>
    <w:rsid w:val="00052405"/>
    <w:rsid w:val="00053710"/>
    <w:rsid w:val="00053C73"/>
    <w:rsid w:val="000546E1"/>
    <w:rsid w:val="00055B17"/>
    <w:rsid w:val="00055EC4"/>
    <w:rsid w:val="00055F28"/>
    <w:rsid w:val="000566F1"/>
    <w:rsid w:val="000573D0"/>
    <w:rsid w:val="00061338"/>
    <w:rsid w:val="00061642"/>
    <w:rsid w:val="000626AA"/>
    <w:rsid w:val="000627C4"/>
    <w:rsid w:val="00063620"/>
    <w:rsid w:val="00063920"/>
    <w:rsid w:val="00064EBD"/>
    <w:rsid w:val="00065026"/>
    <w:rsid w:val="00065B1A"/>
    <w:rsid w:val="00066B00"/>
    <w:rsid w:val="00067714"/>
    <w:rsid w:val="00070702"/>
    <w:rsid w:val="000715DF"/>
    <w:rsid w:val="0007276F"/>
    <w:rsid w:val="00072F9B"/>
    <w:rsid w:val="00072FEA"/>
    <w:rsid w:val="00073F3B"/>
    <w:rsid w:val="0007409E"/>
    <w:rsid w:val="00074C86"/>
    <w:rsid w:val="000762E5"/>
    <w:rsid w:val="0007747C"/>
    <w:rsid w:val="0007785D"/>
    <w:rsid w:val="00077A3A"/>
    <w:rsid w:val="00080479"/>
    <w:rsid w:val="000817E5"/>
    <w:rsid w:val="00081825"/>
    <w:rsid w:val="00082150"/>
    <w:rsid w:val="000823DD"/>
    <w:rsid w:val="00082ABD"/>
    <w:rsid w:val="00083538"/>
    <w:rsid w:val="00084562"/>
    <w:rsid w:val="00084F13"/>
    <w:rsid w:val="00085A5D"/>
    <w:rsid w:val="00086D50"/>
    <w:rsid w:val="000902F3"/>
    <w:rsid w:val="000903F8"/>
    <w:rsid w:val="0009043B"/>
    <w:rsid w:val="00090CE7"/>
    <w:rsid w:val="00092570"/>
    <w:rsid w:val="000941CB"/>
    <w:rsid w:val="00094787"/>
    <w:rsid w:val="00095CB3"/>
    <w:rsid w:val="0009796F"/>
    <w:rsid w:val="00097E73"/>
    <w:rsid w:val="000A1251"/>
    <w:rsid w:val="000A2125"/>
    <w:rsid w:val="000A2A20"/>
    <w:rsid w:val="000A31CC"/>
    <w:rsid w:val="000A365F"/>
    <w:rsid w:val="000A5689"/>
    <w:rsid w:val="000A5DEE"/>
    <w:rsid w:val="000A5E17"/>
    <w:rsid w:val="000A65AC"/>
    <w:rsid w:val="000A7038"/>
    <w:rsid w:val="000B0921"/>
    <w:rsid w:val="000B3BE5"/>
    <w:rsid w:val="000B4CD0"/>
    <w:rsid w:val="000B4E40"/>
    <w:rsid w:val="000B516F"/>
    <w:rsid w:val="000B5993"/>
    <w:rsid w:val="000B5D1C"/>
    <w:rsid w:val="000B6BE1"/>
    <w:rsid w:val="000B6D86"/>
    <w:rsid w:val="000B7AE7"/>
    <w:rsid w:val="000B7B03"/>
    <w:rsid w:val="000C02F9"/>
    <w:rsid w:val="000C07FB"/>
    <w:rsid w:val="000C1DE5"/>
    <w:rsid w:val="000C288B"/>
    <w:rsid w:val="000C2996"/>
    <w:rsid w:val="000C38FF"/>
    <w:rsid w:val="000C4B8D"/>
    <w:rsid w:val="000C65D4"/>
    <w:rsid w:val="000C6A5A"/>
    <w:rsid w:val="000C6A89"/>
    <w:rsid w:val="000C6CC1"/>
    <w:rsid w:val="000C78A6"/>
    <w:rsid w:val="000D00FA"/>
    <w:rsid w:val="000D02DD"/>
    <w:rsid w:val="000D1E08"/>
    <w:rsid w:val="000D2100"/>
    <w:rsid w:val="000D21C2"/>
    <w:rsid w:val="000D2F03"/>
    <w:rsid w:val="000D34D6"/>
    <w:rsid w:val="000D351D"/>
    <w:rsid w:val="000D411A"/>
    <w:rsid w:val="000D4B05"/>
    <w:rsid w:val="000D4F0F"/>
    <w:rsid w:val="000D5221"/>
    <w:rsid w:val="000D721F"/>
    <w:rsid w:val="000D788F"/>
    <w:rsid w:val="000D7E17"/>
    <w:rsid w:val="000E1659"/>
    <w:rsid w:val="000E225B"/>
    <w:rsid w:val="000E27F4"/>
    <w:rsid w:val="000E2BA3"/>
    <w:rsid w:val="000E496B"/>
    <w:rsid w:val="000E4A69"/>
    <w:rsid w:val="000E574E"/>
    <w:rsid w:val="000E6C6B"/>
    <w:rsid w:val="000E6EF8"/>
    <w:rsid w:val="000E723D"/>
    <w:rsid w:val="000E7ACC"/>
    <w:rsid w:val="000F0B3C"/>
    <w:rsid w:val="000F0B61"/>
    <w:rsid w:val="000F104A"/>
    <w:rsid w:val="000F34D7"/>
    <w:rsid w:val="000F5421"/>
    <w:rsid w:val="000F6625"/>
    <w:rsid w:val="000F796E"/>
    <w:rsid w:val="00100B63"/>
    <w:rsid w:val="00102435"/>
    <w:rsid w:val="00105493"/>
    <w:rsid w:val="00105FC9"/>
    <w:rsid w:val="00107231"/>
    <w:rsid w:val="001073E0"/>
    <w:rsid w:val="001101B1"/>
    <w:rsid w:val="001105DD"/>
    <w:rsid w:val="0011093A"/>
    <w:rsid w:val="00110C9A"/>
    <w:rsid w:val="00111E09"/>
    <w:rsid w:val="0011218F"/>
    <w:rsid w:val="00113711"/>
    <w:rsid w:val="00114B37"/>
    <w:rsid w:val="00114CF1"/>
    <w:rsid w:val="001161EE"/>
    <w:rsid w:val="00117794"/>
    <w:rsid w:val="00122242"/>
    <w:rsid w:val="001244EB"/>
    <w:rsid w:val="001263B8"/>
    <w:rsid w:val="001268B7"/>
    <w:rsid w:val="0012764C"/>
    <w:rsid w:val="001279FA"/>
    <w:rsid w:val="00127F25"/>
    <w:rsid w:val="00130BC4"/>
    <w:rsid w:val="00131ECB"/>
    <w:rsid w:val="0013287D"/>
    <w:rsid w:val="00132EBF"/>
    <w:rsid w:val="0013474D"/>
    <w:rsid w:val="00136036"/>
    <w:rsid w:val="00136D08"/>
    <w:rsid w:val="0014040A"/>
    <w:rsid w:val="00140716"/>
    <w:rsid w:val="00140792"/>
    <w:rsid w:val="001416B4"/>
    <w:rsid w:val="001417EE"/>
    <w:rsid w:val="00142CBD"/>
    <w:rsid w:val="00143C4B"/>
    <w:rsid w:val="00145748"/>
    <w:rsid w:val="001466B2"/>
    <w:rsid w:val="00146875"/>
    <w:rsid w:val="001471A7"/>
    <w:rsid w:val="001471C9"/>
    <w:rsid w:val="00147BD7"/>
    <w:rsid w:val="001503FB"/>
    <w:rsid w:val="0015270A"/>
    <w:rsid w:val="0015309F"/>
    <w:rsid w:val="00153EC1"/>
    <w:rsid w:val="00154ABB"/>
    <w:rsid w:val="00157418"/>
    <w:rsid w:val="00157A36"/>
    <w:rsid w:val="00157B5C"/>
    <w:rsid w:val="00160C19"/>
    <w:rsid w:val="001612A5"/>
    <w:rsid w:val="00162462"/>
    <w:rsid w:val="00162923"/>
    <w:rsid w:val="00163408"/>
    <w:rsid w:val="00163E77"/>
    <w:rsid w:val="00164803"/>
    <w:rsid w:val="0016580C"/>
    <w:rsid w:val="001659FA"/>
    <w:rsid w:val="00165C9B"/>
    <w:rsid w:val="00166710"/>
    <w:rsid w:val="00166FB5"/>
    <w:rsid w:val="0016709E"/>
    <w:rsid w:val="001670EA"/>
    <w:rsid w:val="001677F1"/>
    <w:rsid w:val="001705FC"/>
    <w:rsid w:val="001706DC"/>
    <w:rsid w:val="00173809"/>
    <w:rsid w:val="0017514B"/>
    <w:rsid w:val="00176136"/>
    <w:rsid w:val="00177BA9"/>
    <w:rsid w:val="001809F9"/>
    <w:rsid w:val="00180C5D"/>
    <w:rsid w:val="00182684"/>
    <w:rsid w:val="00183228"/>
    <w:rsid w:val="001833E9"/>
    <w:rsid w:val="00183902"/>
    <w:rsid w:val="00185008"/>
    <w:rsid w:val="00185118"/>
    <w:rsid w:val="001858DC"/>
    <w:rsid w:val="00185E27"/>
    <w:rsid w:val="001869CC"/>
    <w:rsid w:val="0019000D"/>
    <w:rsid w:val="001903C5"/>
    <w:rsid w:val="001904E7"/>
    <w:rsid w:val="001910B6"/>
    <w:rsid w:val="00191A07"/>
    <w:rsid w:val="001930A9"/>
    <w:rsid w:val="00194888"/>
    <w:rsid w:val="00194E0F"/>
    <w:rsid w:val="001954D3"/>
    <w:rsid w:val="0019694A"/>
    <w:rsid w:val="001A0D82"/>
    <w:rsid w:val="001A3F01"/>
    <w:rsid w:val="001A41FD"/>
    <w:rsid w:val="001A5037"/>
    <w:rsid w:val="001A52CA"/>
    <w:rsid w:val="001A725C"/>
    <w:rsid w:val="001A7579"/>
    <w:rsid w:val="001A7C69"/>
    <w:rsid w:val="001B03AB"/>
    <w:rsid w:val="001B07A1"/>
    <w:rsid w:val="001B1260"/>
    <w:rsid w:val="001B1E52"/>
    <w:rsid w:val="001B203F"/>
    <w:rsid w:val="001B5785"/>
    <w:rsid w:val="001B7D20"/>
    <w:rsid w:val="001C1462"/>
    <w:rsid w:val="001C18AE"/>
    <w:rsid w:val="001C18F1"/>
    <w:rsid w:val="001C3108"/>
    <w:rsid w:val="001C43CD"/>
    <w:rsid w:val="001C4857"/>
    <w:rsid w:val="001C5429"/>
    <w:rsid w:val="001C5D17"/>
    <w:rsid w:val="001C60BE"/>
    <w:rsid w:val="001C74AD"/>
    <w:rsid w:val="001C76D4"/>
    <w:rsid w:val="001C79A9"/>
    <w:rsid w:val="001C7A4A"/>
    <w:rsid w:val="001D1650"/>
    <w:rsid w:val="001D1968"/>
    <w:rsid w:val="001D35C2"/>
    <w:rsid w:val="001D4E98"/>
    <w:rsid w:val="001D5192"/>
    <w:rsid w:val="001D530E"/>
    <w:rsid w:val="001D583B"/>
    <w:rsid w:val="001D5A70"/>
    <w:rsid w:val="001D650D"/>
    <w:rsid w:val="001D67C9"/>
    <w:rsid w:val="001D6DD0"/>
    <w:rsid w:val="001E2B26"/>
    <w:rsid w:val="001E2FD0"/>
    <w:rsid w:val="001E319F"/>
    <w:rsid w:val="001E3F79"/>
    <w:rsid w:val="001E5567"/>
    <w:rsid w:val="001E55EA"/>
    <w:rsid w:val="001E768A"/>
    <w:rsid w:val="001E7D74"/>
    <w:rsid w:val="001F077C"/>
    <w:rsid w:val="001F0975"/>
    <w:rsid w:val="001F0CC7"/>
    <w:rsid w:val="001F0E13"/>
    <w:rsid w:val="001F0F47"/>
    <w:rsid w:val="001F1163"/>
    <w:rsid w:val="001F2C59"/>
    <w:rsid w:val="001F3132"/>
    <w:rsid w:val="001F3FA2"/>
    <w:rsid w:val="001F58D3"/>
    <w:rsid w:val="001F78A7"/>
    <w:rsid w:val="001F78B1"/>
    <w:rsid w:val="001F78D8"/>
    <w:rsid w:val="00200840"/>
    <w:rsid w:val="00202666"/>
    <w:rsid w:val="00202DAB"/>
    <w:rsid w:val="0020419C"/>
    <w:rsid w:val="00206EBE"/>
    <w:rsid w:val="00211FD4"/>
    <w:rsid w:val="00213831"/>
    <w:rsid w:val="00213E40"/>
    <w:rsid w:val="00214C4D"/>
    <w:rsid w:val="00215334"/>
    <w:rsid w:val="002163A0"/>
    <w:rsid w:val="002169D6"/>
    <w:rsid w:val="002179F6"/>
    <w:rsid w:val="00220695"/>
    <w:rsid w:val="002206D5"/>
    <w:rsid w:val="002206E6"/>
    <w:rsid w:val="00221370"/>
    <w:rsid w:val="00221A09"/>
    <w:rsid w:val="002234BD"/>
    <w:rsid w:val="00223F89"/>
    <w:rsid w:val="00224C95"/>
    <w:rsid w:val="00226E17"/>
    <w:rsid w:val="00227383"/>
    <w:rsid w:val="00227761"/>
    <w:rsid w:val="002278F8"/>
    <w:rsid w:val="00227B11"/>
    <w:rsid w:val="00230925"/>
    <w:rsid w:val="00231CEC"/>
    <w:rsid w:val="00232F41"/>
    <w:rsid w:val="00235D24"/>
    <w:rsid w:val="002379F9"/>
    <w:rsid w:val="00240802"/>
    <w:rsid w:val="00240C95"/>
    <w:rsid w:val="0024107C"/>
    <w:rsid w:val="002417EC"/>
    <w:rsid w:val="0024265D"/>
    <w:rsid w:val="00244190"/>
    <w:rsid w:val="00245132"/>
    <w:rsid w:val="002451D9"/>
    <w:rsid w:val="00245817"/>
    <w:rsid w:val="00245D26"/>
    <w:rsid w:val="00246BC8"/>
    <w:rsid w:val="0024770A"/>
    <w:rsid w:val="00247DD1"/>
    <w:rsid w:val="00250B14"/>
    <w:rsid w:val="0025193C"/>
    <w:rsid w:val="0025474D"/>
    <w:rsid w:val="0025584E"/>
    <w:rsid w:val="00255E5B"/>
    <w:rsid w:val="0025605D"/>
    <w:rsid w:val="002575DD"/>
    <w:rsid w:val="002604EC"/>
    <w:rsid w:val="00260593"/>
    <w:rsid w:val="0026066C"/>
    <w:rsid w:val="0026096D"/>
    <w:rsid w:val="002615D0"/>
    <w:rsid w:val="0026284D"/>
    <w:rsid w:val="00262B9A"/>
    <w:rsid w:val="00262C3F"/>
    <w:rsid w:val="00264D0B"/>
    <w:rsid w:val="00265C8E"/>
    <w:rsid w:val="00265CAF"/>
    <w:rsid w:val="00266C6A"/>
    <w:rsid w:val="00270280"/>
    <w:rsid w:val="002702EE"/>
    <w:rsid w:val="00272B90"/>
    <w:rsid w:val="002730A5"/>
    <w:rsid w:val="002742FC"/>
    <w:rsid w:val="00275977"/>
    <w:rsid w:val="00275A93"/>
    <w:rsid w:val="00276D3F"/>
    <w:rsid w:val="00277672"/>
    <w:rsid w:val="002778D0"/>
    <w:rsid w:val="00277F0F"/>
    <w:rsid w:val="00281C3B"/>
    <w:rsid w:val="002825A9"/>
    <w:rsid w:val="0028346C"/>
    <w:rsid w:val="00283C92"/>
    <w:rsid w:val="0028444A"/>
    <w:rsid w:val="00284865"/>
    <w:rsid w:val="00284A21"/>
    <w:rsid w:val="00284B7B"/>
    <w:rsid w:val="00286FF8"/>
    <w:rsid w:val="00290A1D"/>
    <w:rsid w:val="00290CA0"/>
    <w:rsid w:val="00291468"/>
    <w:rsid w:val="00291957"/>
    <w:rsid w:val="00291C74"/>
    <w:rsid w:val="00291FE7"/>
    <w:rsid w:val="002930F1"/>
    <w:rsid w:val="00293933"/>
    <w:rsid w:val="00294408"/>
    <w:rsid w:val="0029489C"/>
    <w:rsid w:val="002959CD"/>
    <w:rsid w:val="00295B93"/>
    <w:rsid w:val="00295C16"/>
    <w:rsid w:val="002A0644"/>
    <w:rsid w:val="002A4776"/>
    <w:rsid w:val="002A5D42"/>
    <w:rsid w:val="002A77A5"/>
    <w:rsid w:val="002B104A"/>
    <w:rsid w:val="002B1320"/>
    <w:rsid w:val="002B2FA5"/>
    <w:rsid w:val="002B3BC9"/>
    <w:rsid w:val="002B4BDE"/>
    <w:rsid w:val="002B4FBE"/>
    <w:rsid w:val="002B5E5F"/>
    <w:rsid w:val="002B5F00"/>
    <w:rsid w:val="002B62D7"/>
    <w:rsid w:val="002B63E0"/>
    <w:rsid w:val="002B7B2B"/>
    <w:rsid w:val="002B7FF4"/>
    <w:rsid w:val="002C1079"/>
    <w:rsid w:val="002C294F"/>
    <w:rsid w:val="002C2FAD"/>
    <w:rsid w:val="002C4526"/>
    <w:rsid w:val="002C484C"/>
    <w:rsid w:val="002C4C46"/>
    <w:rsid w:val="002C4C4C"/>
    <w:rsid w:val="002C51FD"/>
    <w:rsid w:val="002C791E"/>
    <w:rsid w:val="002C7999"/>
    <w:rsid w:val="002D1D29"/>
    <w:rsid w:val="002D1D68"/>
    <w:rsid w:val="002D2B8A"/>
    <w:rsid w:val="002D2C8B"/>
    <w:rsid w:val="002D4545"/>
    <w:rsid w:val="002D4852"/>
    <w:rsid w:val="002D6C5F"/>
    <w:rsid w:val="002D7125"/>
    <w:rsid w:val="002D727B"/>
    <w:rsid w:val="002D7B1C"/>
    <w:rsid w:val="002D7E01"/>
    <w:rsid w:val="002D7EA1"/>
    <w:rsid w:val="002E17B7"/>
    <w:rsid w:val="002E2E62"/>
    <w:rsid w:val="002E39D2"/>
    <w:rsid w:val="002E3EFF"/>
    <w:rsid w:val="002E7335"/>
    <w:rsid w:val="002E7B7E"/>
    <w:rsid w:val="002F0646"/>
    <w:rsid w:val="002F13D8"/>
    <w:rsid w:val="002F253C"/>
    <w:rsid w:val="002F3627"/>
    <w:rsid w:val="002F3B76"/>
    <w:rsid w:val="002F4035"/>
    <w:rsid w:val="002F5084"/>
    <w:rsid w:val="002F53EA"/>
    <w:rsid w:val="002F64CD"/>
    <w:rsid w:val="002F6B84"/>
    <w:rsid w:val="002F79AE"/>
    <w:rsid w:val="002F7FE8"/>
    <w:rsid w:val="003007DC"/>
    <w:rsid w:val="003011C5"/>
    <w:rsid w:val="00302A6A"/>
    <w:rsid w:val="00302DAB"/>
    <w:rsid w:val="00302F09"/>
    <w:rsid w:val="00303DDB"/>
    <w:rsid w:val="00304DDB"/>
    <w:rsid w:val="00305167"/>
    <w:rsid w:val="0030572E"/>
    <w:rsid w:val="00305D7B"/>
    <w:rsid w:val="0030633E"/>
    <w:rsid w:val="00307D2E"/>
    <w:rsid w:val="00310B09"/>
    <w:rsid w:val="00310B4C"/>
    <w:rsid w:val="00311E3E"/>
    <w:rsid w:val="00315AD5"/>
    <w:rsid w:val="00315EC6"/>
    <w:rsid w:val="00316685"/>
    <w:rsid w:val="00321EE5"/>
    <w:rsid w:val="0032244B"/>
    <w:rsid w:val="003227E1"/>
    <w:rsid w:val="00323BEB"/>
    <w:rsid w:val="0032480F"/>
    <w:rsid w:val="003255CA"/>
    <w:rsid w:val="00325B98"/>
    <w:rsid w:val="003267D6"/>
    <w:rsid w:val="00326E81"/>
    <w:rsid w:val="00327398"/>
    <w:rsid w:val="00330502"/>
    <w:rsid w:val="00330568"/>
    <w:rsid w:val="0033107F"/>
    <w:rsid w:val="0033335B"/>
    <w:rsid w:val="00333928"/>
    <w:rsid w:val="00333F80"/>
    <w:rsid w:val="00334438"/>
    <w:rsid w:val="00334593"/>
    <w:rsid w:val="00335C4A"/>
    <w:rsid w:val="00337B72"/>
    <w:rsid w:val="00337DC8"/>
    <w:rsid w:val="00340B36"/>
    <w:rsid w:val="00340F27"/>
    <w:rsid w:val="0034231B"/>
    <w:rsid w:val="00342B40"/>
    <w:rsid w:val="00343AE6"/>
    <w:rsid w:val="00343C32"/>
    <w:rsid w:val="00343CB7"/>
    <w:rsid w:val="003453AA"/>
    <w:rsid w:val="00345656"/>
    <w:rsid w:val="00345950"/>
    <w:rsid w:val="00345FDC"/>
    <w:rsid w:val="003478A1"/>
    <w:rsid w:val="00351835"/>
    <w:rsid w:val="00352BEB"/>
    <w:rsid w:val="00353378"/>
    <w:rsid w:val="0035467C"/>
    <w:rsid w:val="0035795A"/>
    <w:rsid w:val="00360D39"/>
    <w:rsid w:val="003618DB"/>
    <w:rsid w:val="00362401"/>
    <w:rsid w:val="00363615"/>
    <w:rsid w:val="003643E0"/>
    <w:rsid w:val="003648B5"/>
    <w:rsid w:val="00364A38"/>
    <w:rsid w:val="00365015"/>
    <w:rsid w:val="003662AE"/>
    <w:rsid w:val="0036794A"/>
    <w:rsid w:val="003700B9"/>
    <w:rsid w:val="00371B55"/>
    <w:rsid w:val="00372251"/>
    <w:rsid w:val="00372C6D"/>
    <w:rsid w:val="0037350E"/>
    <w:rsid w:val="0037354E"/>
    <w:rsid w:val="00374730"/>
    <w:rsid w:val="00374B1C"/>
    <w:rsid w:val="00375C96"/>
    <w:rsid w:val="00380A3F"/>
    <w:rsid w:val="00380E90"/>
    <w:rsid w:val="00380F15"/>
    <w:rsid w:val="003810DA"/>
    <w:rsid w:val="00381A15"/>
    <w:rsid w:val="00381CF5"/>
    <w:rsid w:val="00381F0A"/>
    <w:rsid w:val="00382176"/>
    <w:rsid w:val="003837AF"/>
    <w:rsid w:val="00383C12"/>
    <w:rsid w:val="003840DC"/>
    <w:rsid w:val="00384CC5"/>
    <w:rsid w:val="003858CB"/>
    <w:rsid w:val="00386A9B"/>
    <w:rsid w:val="00387989"/>
    <w:rsid w:val="003900A7"/>
    <w:rsid w:val="00392AE0"/>
    <w:rsid w:val="00392E71"/>
    <w:rsid w:val="00392FAA"/>
    <w:rsid w:val="003937CD"/>
    <w:rsid w:val="00396DA3"/>
    <w:rsid w:val="0039712D"/>
    <w:rsid w:val="003976C9"/>
    <w:rsid w:val="00397B8E"/>
    <w:rsid w:val="003A11BA"/>
    <w:rsid w:val="003A1687"/>
    <w:rsid w:val="003A19D5"/>
    <w:rsid w:val="003A1D34"/>
    <w:rsid w:val="003A27E8"/>
    <w:rsid w:val="003A29E8"/>
    <w:rsid w:val="003A37B2"/>
    <w:rsid w:val="003A5DF4"/>
    <w:rsid w:val="003A676A"/>
    <w:rsid w:val="003A67CB"/>
    <w:rsid w:val="003A7126"/>
    <w:rsid w:val="003A77AE"/>
    <w:rsid w:val="003B0411"/>
    <w:rsid w:val="003B04ED"/>
    <w:rsid w:val="003B0D17"/>
    <w:rsid w:val="003B166E"/>
    <w:rsid w:val="003B38D1"/>
    <w:rsid w:val="003B3C2B"/>
    <w:rsid w:val="003B3CE3"/>
    <w:rsid w:val="003B3E70"/>
    <w:rsid w:val="003B45A0"/>
    <w:rsid w:val="003B489F"/>
    <w:rsid w:val="003B6611"/>
    <w:rsid w:val="003B72B7"/>
    <w:rsid w:val="003C0262"/>
    <w:rsid w:val="003C02CA"/>
    <w:rsid w:val="003C10FB"/>
    <w:rsid w:val="003C20A2"/>
    <w:rsid w:val="003C20D0"/>
    <w:rsid w:val="003C3D55"/>
    <w:rsid w:val="003C4A73"/>
    <w:rsid w:val="003C539F"/>
    <w:rsid w:val="003C770E"/>
    <w:rsid w:val="003C7E54"/>
    <w:rsid w:val="003D0228"/>
    <w:rsid w:val="003D0E90"/>
    <w:rsid w:val="003D1B02"/>
    <w:rsid w:val="003D1E41"/>
    <w:rsid w:val="003D2449"/>
    <w:rsid w:val="003D3F97"/>
    <w:rsid w:val="003D4EA7"/>
    <w:rsid w:val="003D50B2"/>
    <w:rsid w:val="003D71D6"/>
    <w:rsid w:val="003D7379"/>
    <w:rsid w:val="003E06A3"/>
    <w:rsid w:val="003E072B"/>
    <w:rsid w:val="003E29C4"/>
    <w:rsid w:val="003E2F91"/>
    <w:rsid w:val="003E308E"/>
    <w:rsid w:val="003E4478"/>
    <w:rsid w:val="003E456D"/>
    <w:rsid w:val="003E524A"/>
    <w:rsid w:val="003E5DEB"/>
    <w:rsid w:val="003E5F75"/>
    <w:rsid w:val="003F053F"/>
    <w:rsid w:val="003F1E4A"/>
    <w:rsid w:val="003F1E9D"/>
    <w:rsid w:val="003F2530"/>
    <w:rsid w:val="003F2767"/>
    <w:rsid w:val="003F2F38"/>
    <w:rsid w:val="003F30EF"/>
    <w:rsid w:val="003F4AD8"/>
    <w:rsid w:val="003F4ADD"/>
    <w:rsid w:val="003F4B9D"/>
    <w:rsid w:val="003F50A4"/>
    <w:rsid w:val="003F52BA"/>
    <w:rsid w:val="003F56CF"/>
    <w:rsid w:val="003F5ADB"/>
    <w:rsid w:val="003F5C50"/>
    <w:rsid w:val="004003A3"/>
    <w:rsid w:val="00400C7F"/>
    <w:rsid w:val="0040101F"/>
    <w:rsid w:val="0040270B"/>
    <w:rsid w:val="004037F3"/>
    <w:rsid w:val="00404036"/>
    <w:rsid w:val="00404DA7"/>
    <w:rsid w:val="00404DE1"/>
    <w:rsid w:val="00405135"/>
    <w:rsid w:val="00405C41"/>
    <w:rsid w:val="00405E39"/>
    <w:rsid w:val="004079F6"/>
    <w:rsid w:val="004101CC"/>
    <w:rsid w:val="00410480"/>
    <w:rsid w:val="00410B45"/>
    <w:rsid w:val="00411ED7"/>
    <w:rsid w:val="00412472"/>
    <w:rsid w:val="004127F1"/>
    <w:rsid w:val="00413859"/>
    <w:rsid w:val="004143BD"/>
    <w:rsid w:val="00420370"/>
    <w:rsid w:val="00420973"/>
    <w:rsid w:val="00422E9E"/>
    <w:rsid w:val="00422FED"/>
    <w:rsid w:val="004242B4"/>
    <w:rsid w:val="00425E04"/>
    <w:rsid w:val="00425ECB"/>
    <w:rsid w:val="00426209"/>
    <w:rsid w:val="004267B7"/>
    <w:rsid w:val="00426B6B"/>
    <w:rsid w:val="00426B95"/>
    <w:rsid w:val="00427284"/>
    <w:rsid w:val="004306AE"/>
    <w:rsid w:val="00430D18"/>
    <w:rsid w:val="004325DF"/>
    <w:rsid w:val="0043378E"/>
    <w:rsid w:val="00434CB1"/>
    <w:rsid w:val="00435011"/>
    <w:rsid w:val="00435CD5"/>
    <w:rsid w:val="00437181"/>
    <w:rsid w:val="00437233"/>
    <w:rsid w:val="0043735B"/>
    <w:rsid w:val="0043771F"/>
    <w:rsid w:val="00437F32"/>
    <w:rsid w:val="004407F0"/>
    <w:rsid w:val="00441861"/>
    <w:rsid w:val="00443B17"/>
    <w:rsid w:val="0044405A"/>
    <w:rsid w:val="0044696B"/>
    <w:rsid w:val="004469BB"/>
    <w:rsid w:val="00447340"/>
    <w:rsid w:val="00450192"/>
    <w:rsid w:val="00451143"/>
    <w:rsid w:val="0045184B"/>
    <w:rsid w:val="0045256D"/>
    <w:rsid w:val="00453268"/>
    <w:rsid w:val="00453FB1"/>
    <w:rsid w:val="00454990"/>
    <w:rsid w:val="00454CBF"/>
    <w:rsid w:val="004552C9"/>
    <w:rsid w:val="00456EFC"/>
    <w:rsid w:val="00457262"/>
    <w:rsid w:val="0045768E"/>
    <w:rsid w:val="00457CD9"/>
    <w:rsid w:val="00457EDB"/>
    <w:rsid w:val="00461497"/>
    <w:rsid w:val="00461CF9"/>
    <w:rsid w:val="00461D67"/>
    <w:rsid w:val="00462156"/>
    <w:rsid w:val="00462F32"/>
    <w:rsid w:val="004640CA"/>
    <w:rsid w:val="004640D7"/>
    <w:rsid w:val="00464B30"/>
    <w:rsid w:val="00465D2D"/>
    <w:rsid w:val="00466889"/>
    <w:rsid w:val="00472646"/>
    <w:rsid w:val="004733D9"/>
    <w:rsid w:val="004743FC"/>
    <w:rsid w:val="004745EE"/>
    <w:rsid w:val="00475134"/>
    <w:rsid w:val="00476AEF"/>
    <w:rsid w:val="00476C3A"/>
    <w:rsid w:val="0047726F"/>
    <w:rsid w:val="00477806"/>
    <w:rsid w:val="00481531"/>
    <w:rsid w:val="00481C61"/>
    <w:rsid w:val="004831FD"/>
    <w:rsid w:val="0048435F"/>
    <w:rsid w:val="004843BC"/>
    <w:rsid w:val="00484D45"/>
    <w:rsid w:val="00485CD0"/>
    <w:rsid w:val="00485DA5"/>
    <w:rsid w:val="00485EFD"/>
    <w:rsid w:val="0048641A"/>
    <w:rsid w:val="00486468"/>
    <w:rsid w:val="00486EC5"/>
    <w:rsid w:val="00487544"/>
    <w:rsid w:val="00487814"/>
    <w:rsid w:val="00487AAA"/>
    <w:rsid w:val="004901B2"/>
    <w:rsid w:val="00491A19"/>
    <w:rsid w:val="004937AF"/>
    <w:rsid w:val="00494658"/>
    <w:rsid w:val="00494E4B"/>
    <w:rsid w:val="0049527D"/>
    <w:rsid w:val="004952EF"/>
    <w:rsid w:val="00495A9B"/>
    <w:rsid w:val="004965BD"/>
    <w:rsid w:val="00496867"/>
    <w:rsid w:val="00496CEF"/>
    <w:rsid w:val="00497657"/>
    <w:rsid w:val="004A0EC1"/>
    <w:rsid w:val="004A1D54"/>
    <w:rsid w:val="004A1F8D"/>
    <w:rsid w:val="004A2628"/>
    <w:rsid w:val="004A2CAA"/>
    <w:rsid w:val="004A2CE6"/>
    <w:rsid w:val="004A399E"/>
    <w:rsid w:val="004A3ACB"/>
    <w:rsid w:val="004A6794"/>
    <w:rsid w:val="004A6F84"/>
    <w:rsid w:val="004B00E6"/>
    <w:rsid w:val="004B017E"/>
    <w:rsid w:val="004B01DF"/>
    <w:rsid w:val="004B2BD5"/>
    <w:rsid w:val="004B337E"/>
    <w:rsid w:val="004B3CDB"/>
    <w:rsid w:val="004B4292"/>
    <w:rsid w:val="004B7629"/>
    <w:rsid w:val="004B7D7B"/>
    <w:rsid w:val="004C0C85"/>
    <w:rsid w:val="004C119D"/>
    <w:rsid w:val="004C13DC"/>
    <w:rsid w:val="004C1E4E"/>
    <w:rsid w:val="004C3855"/>
    <w:rsid w:val="004C4692"/>
    <w:rsid w:val="004C4A31"/>
    <w:rsid w:val="004C5623"/>
    <w:rsid w:val="004C5D5C"/>
    <w:rsid w:val="004C6523"/>
    <w:rsid w:val="004C6F92"/>
    <w:rsid w:val="004C7052"/>
    <w:rsid w:val="004C7FD2"/>
    <w:rsid w:val="004D0762"/>
    <w:rsid w:val="004D2068"/>
    <w:rsid w:val="004D227F"/>
    <w:rsid w:val="004D23BE"/>
    <w:rsid w:val="004D37AC"/>
    <w:rsid w:val="004D38B3"/>
    <w:rsid w:val="004D57A0"/>
    <w:rsid w:val="004D63B8"/>
    <w:rsid w:val="004D6474"/>
    <w:rsid w:val="004D6684"/>
    <w:rsid w:val="004D7766"/>
    <w:rsid w:val="004E00C6"/>
    <w:rsid w:val="004E3E05"/>
    <w:rsid w:val="004E47BC"/>
    <w:rsid w:val="004E4A7D"/>
    <w:rsid w:val="004E52D2"/>
    <w:rsid w:val="004E553B"/>
    <w:rsid w:val="004E59D7"/>
    <w:rsid w:val="004E63A0"/>
    <w:rsid w:val="004F0531"/>
    <w:rsid w:val="004F2641"/>
    <w:rsid w:val="004F2FA3"/>
    <w:rsid w:val="004F3AAA"/>
    <w:rsid w:val="004F3D21"/>
    <w:rsid w:val="004F4003"/>
    <w:rsid w:val="004F48F9"/>
    <w:rsid w:val="004F4EFA"/>
    <w:rsid w:val="004F5DD7"/>
    <w:rsid w:val="004F5E6C"/>
    <w:rsid w:val="004F6252"/>
    <w:rsid w:val="004F68F4"/>
    <w:rsid w:val="004F76A7"/>
    <w:rsid w:val="004F7900"/>
    <w:rsid w:val="00500287"/>
    <w:rsid w:val="00500F18"/>
    <w:rsid w:val="00501733"/>
    <w:rsid w:val="00503223"/>
    <w:rsid w:val="0050541F"/>
    <w:rsid w:val="00505CCF"/>
    <w:rsid w:val="00506D19"/>
    <w:rsid w:val="00507527"/>
    <w:rsid w:val="00507F91"/>
    <w:rsid w:val="00510AFE"/>
    <w:rsid w:val="00511721"/>
    <w:rsid w:val="00512124"/>
    <w:rsid w:val="005125D3"/>
    <w:rsid w:val="0051389A"/>
    <w:rsid w:val="00514419"/>
    <w:rsid w:val="005150A9"/>
    <w:rsid w:val="00515121"/>
    <w:rsid w:val="00515E2C"/>
    <w:rsid w:val="005165AD"/>
    <w:rsid w:val="005171B3"/>
    <w:rsid w:val="005176B2"/>
    <w:rsid w:val="00521CC0"/>
    <w:rsid w:val="0052215E"/>
    <w:rsid w:val="0052220D"/>
    <w:rsid w:val="00522E0A"/>
    <w:rsid w:val="0052403B"/>
    <w:rsid w:val="00524724"/>
    <w:rsid w:val="005251DD"/>
    <w:rsid w:val="005255C5"/>
    <w:rsid w:val="0052660A"/>
    <w:rsid w:val="00527A90"/>
    <w:rsid w:val="005319DD"/>
    <w:rsid w:val="005330BB"/>
    <w:rsid w:val="00533A96"/>
    <w:rsid w:val="00533BC3"/>
    <w:rsid w:val="00534EB7"/>
    <w:rsid w:val="00536F82"/>
    <w:rsid w:val="00537901"/>
    <w:rsid w:val="00540C96"/>
    <w:rsid w:val="005412DF"/>
    <w:rsid w:val="005414FB"/>
    <w:rsid w:val="005432CA"/>
    <w:rsid w:val="00544533"/>
    <w:rsid w:val="0054557D"/>
    <w:rsid w:val="00547085"/>
    <w:rsid w:val="005477FC"/>
    <w:rsid w:val="005479DE"/>
    <w:rsid w:val="0055067D"/>
    <w:rsid w:val="0055166A"/>
    <w:rsid w:val="00553F53"/>
    <w:rsid w:val="005551B2"/>
    <w:rsid w:val="0055594B"/>
    <w:rsid w:val="00555A9E"/>
    <w:rsid w:val="00555AA7"/>
    <w:rsid w:val="005571DC"/>
    <w:rsid w:val="005601B8"/>
    <w:rsid w:val="00560B24"/>
    <w:rsid w:val="00560BDB"/>
    <w:rsid w:val="00562CA3"/>
    <w:rsid w:val="00564025"/>
    <w:rsid w:val="00564229"/>
    <w:rsid w:val="00564FBF"/>
    <w:rsid w:val="0056519E"/>
    <w:rsid w:val="005666FE"/>
    <w:rsid w:val="005668F1"/>
    <w:rsid w:val="0056698A"/>
    <w:rsid w:val="00566FB1"/>
    <w:rsid w:val="005723B2"/>
    <w:rsid w:val="00572425"/>
    <w:rsid w:val="005724BD"/>
    <w:rsid w:val="00574E22"/>
    <w:rsid w:val="005779A6"/>
    <w:rsid w:val="005826CA"/>
    <w:rsid w:val="00582BEA"/>
    <w:rsid w:val="005835DB"/>
    <w:rsid w:val="0058534A"/>
    <w:rsid w:val="00585EF0"/>
    <w:rsid w:val="005863C2"/>
    <w:rsid w:val="00587779"/>
    <w:rsid w:val="00587960"/>
    <w:rsid w:val="00587AE8"/>
    <w:rsid w:val="00591E69"/>
    <w:rsid w:val="00591E92"/>
    <w:rsid w:val="00592C11"/>
    <w:rsid w:val="005938C6"/>
    <w:rsid w:val="00594007"/>
    <w:rsid w:val="00595114"/>
    <w:rsid w:val="00595604"/>
    <w:rsid w:val="0059746D"/>
    <w:rsid w:val="00597EF8"/>
    <w:rsid w:val="005A1A21"/>
    <w:rsid w:val="005A32EF"/>
    <w:rsid w:val="005A4137"/>
    <w:rsid w:val="005A5556"/>
    <w:rsid w:val="005A679C"/>
    <w:rsid w:val="005A69B4"/>
    <w:rsid w:val="005A7984"/>
    <w:rsid w:val="005A7D8E"/>
    <w:rsid w:val="005A7E91"/>
    <w:rsid w:val="005B0873"/>
    <w:rsid w:val="005B33D6"/>
    <w:rsid w:val="005B56C5"/>
    <w:rsid w:val="005B5DCF"/>
    <w:rsid w:val="005B660B"/>
    <w:rsid w:val="005B6A79"/>
    <w:rsid w:val="005B6EB2"/>
    <w:rsid w:val="005B70E3"/>
    <w:rsid w:val="005B732E"/>
    <w:rsid w:val="005B7495"/>
    <w:rsid w:val="005C0158"/>
    <w:rsid w:val="005C072E"/>
    <w:rsid w:val="005C0B40"/>
    <w:rsid w:val="005C2366"/>
    <w:rsid w:val="005C3000"/>
    <w:rsid w:val="005C3F2D"/>
    <w:rsid w:val="005C4806"/>
    <w:rsid w:val="005C5132"/>
    <w:rsid w:val="005C57B9"/>
    <w:rsid w:val="005C5C5A"/>
    <w:rsid w:val="005C6A34"/>
    <w:rsid w:val="005C6C22"/>
    <w:rsid w:val="005C72E6"/>
    <w:rsid w:val="005C7638"/>
    <w:rsid w:val="005D02F0"/>
    <w:rsid w:val="005D0392"/>
    <w:rsid w:val="005D03AF"/>
    <w:rsid w:val="005D0675"/>
    <w:rsid w:val="005D1EEC"/>
    <w:rsid w:val="005D27C7"/>
    <w:rsid w:val="005D4312"/>
    <w:rsid w:val="005D4DEC"/>
    <w:rsid w:val="005D4EDA"/>
    <w:rsid w:val="005D5509"/>
    <w:rsid w:val="005D5F07"/>
    <w:rsid w:val="005D6065"/>
    <w:rsid w:val="005D6301"/>
    <w:rsid w:val="005D6487"/>
    <w:rsid w:val="005D694F"/>
    <w:rsid w:val="005D6B78"/>
    <w:rsid w:val="005D6CF2"/>
    <w:rsid w:val="005D7968"/>
    <w:rsid w:val="005D7AA5"/>
    <w:rsid w:val="005D7B65"/>
    <w:rsid w:val="005E1677"/>
    <w:rsid w:val="005E1C42"/>
    <w:rsid w:val="005E29DF"/>
    <w:rsid w:val="005E2AA2"/>
    <w:rsid w:val="005E2AFF"/>
    <w:rsid w:val="005E318E"/>
    <w:rsid w:val="005E41E6"/>
    <w:rsid w:val="005E4450"/>
    <w:rsid w:val="005E5C15"/>
    <w:rsid w:val="005F06EF"/>
    <w:rsid w:val="005F16EA"/>
    <w:rsid w:val="005F300E"/>
    <w:rsid w:val="005F3040"/>
    <w:rsid w:val="005F379B"/>
    <w:rsid w:val="005F53C1"/>
    <w:rsid w:val="005F5697"/>
    <w:rsid w:val="005F5FCA"/>
    <w:rsid w:val="005F6EC6"/>
    <w:rsid w:val="005F7E85"/>
    <w:rsid w:val="006000B2"/>
    <w:rsid w:val="0060028B"/>
    <w:rsid w:val="00601970"/>
    <w:rsid w:val="0060452E"/>
    <w:rsid w:val="00604AEF"/>
    <w:rsid w:val="0060557B"/>
    <w:rsid w:val="00607ED4"/>
    <w:rsid w:val="00610CA1"/>
    <w:rsid w:val="00610D4B"/>
    <w:rsid w:val="006111CF"/>
    <w:rsid w:val="00611FE4"/>
    <w:rsid w:val="006127CB"/>
    <w:rsid w:val="00612CF9"/>
    <w:rsid w:val="00613BFB"/>
    <w:rsid w:val="006153EB"/>
    <w:rsid w:val="006157D9"/>
    <w:rsid w:val="00615D5E"/>
    <w:rsid w:val="0061794B"/>
    <w:rsid w:val="00617B3C"/>
    <w:rsid w:val="00620375"/>
    <w:rsid w:val="0062272A"/>
    <w:rsid w:val="006233BF"/>
    <w:rsid w:val="00623439"/>
    <w:rsid w:val="0062360A"/>
    <w:rsid w:val="00623BD2"/>
    <w:rsid w:val="0062419F"/>
    <w:rsid w:val="00624D0A"/>
    <w:rsid w:val="006267F3"/>
    <w:rsid w:val="00626C18"/>
    <w:rsid w:val="006271E2"/>
    <w:rsid w:val="00627667"/>
    <w:rsid w:val="00630608"/>
    <w:rsid w:val="006308CF"/>
    <w:rsid w:val="00630EAA"/>
    <w:rsid w:val="006325FA"/>
    <w:rsid w:val="0063307D"/>
    <w:rsid w:val="0063636E"/>
    <w:rsid w:val="006365EC"/>
    <w:rsid w:val="00636EAC"/>
    <w:rsid w:val="00637693"/>
    <w:rsid w:val="00637C26"/>
    <w:rsid w:val="0064009B"/>
    <w:rsid w:val="00643F6A"/>
    <w:rsid w:val="00644FC2"/>
    <w:rsid w:val="00645A03"/>
    <w:rsid w:val="00645BD9"/>
    <w:rsid w:val="00645EEA"/>
    <w:rsid w:val="00645FB0"/>
    <w:rsid w:val="00646444"/>
    <w:rsid w:val="006479FF"/>
    <w:rsid w:val="00647BE4"/>
    <w:rsid w:val="00652355"/>
    <w:rsid w:val="006525A8"/>
    <w:rsid w:val="00652A4C"/>
    <w:rsid w:val="00653909"/>
    <w:rsid w:val="006541AB"/>
    <w:rsid w:val="006544C2"/>
    <w:rsid w:val="00656CC2"/>
    <w:rsid w:val="00656E3B"/>
    <w:rsid w:val="00660377"/>
    <w:rsid w:val="0066190C"/>
    <w:rsid w:val="00661EE5"/>
    <w:rsid w:val="006643D9"/>
    <w:rsid w:val="006647A8"/>
    <w:rsid w:val="00664FFC"/>
    <w:rsid w:val="00666BC0"/>
    <w:rsid w:val="00670264"/>
    <w:rsid w:val="006705BA"/>
    <w:rsid w:val="0067086A"/>
    <w:rsid w:val="00671365"/>
    <w:rsid w:val="0067224A"/>
    <w:rsid w:val="0067293E"/>
    <w:rsid w:val="00672958"/>
    <w:rsid w:val="00674374"/>
    <w:rsid w:val="006745A5"/>
    <w:rsid w:val="00674B2A"/>
    <w:rsid w:val="00675375"/>
    <w:rsid w:val="006755A3"/>
    <w:rsid w:val="00676178"/>
    <w:rsid w:val="00676AAF"/>
    <w:rsid w:val="006778DC"/>
    <w:rsid w:val="006800CC"/>
    <w:rsid w:val="00680688"/>
    <w:rsid w:val="00681610"/>
    <w:rsid w:val="006822EB"/>
    <w:rsid w:val="00682FEA"/>
    <w:rsid w:val="00684837"/>
    <w:rsid w:val="00684B2A"/>
    <w:rsid w:val="00685296"/>
    <w:rsid w:val="006854EA"/>
    <w:rsid w:val="00685B0C"/>
    <w:rsid w:val="006863AC"/>
    <w:rsid w:val="00686926"/>
    <w:rsid w:val="00686B8D"/>
    <w:rsid w:val="006875B5"/>
    <w:rsid w:val="00687D6C"/>
    <w:rsid w:val="00687F77"/>
    <w:rsid w:val="006902D7"/>
    <w:rsid w:val="006922FD"/>
    <w:rsid w:val="0069244E"/>
    <w:rsid w:val="00692D56"/>
    <w:rsid w:val="0069361C"/>
    <w:rsid w:val="00693B6F"/>
    <w:rsid w:val="00693D19"/>
    <w:rsid w:val="0069438B"/>
    <w:rsid w:val="006957B8"/>
    <w:rsid w:val="00695B24"/>
    <w:rsid w:val="00695BC7"/>
    <w:rsid w:val="006975E8"/>
    <w:rsid w:val="006A0AAC"/>
    <w:rsid w:val="006A1980"/>
    <w:rsid w:val="006A2E22"/>
    <w:rsid w:val="006A2E29"/>
    <w:rsid w:val="006A4936"/>
    <w:rsid w:val="006A4A3E"/>
    <w:rsid w:val="006A4EE6"/>
    <w:rsid w:val="006A6659"/>
    <w:rsid w:val="006A699F"/>
    <w:rsid w:val="006A73CE"/>
    <w:rsid w:val="006A78BC"/>
    <w:rsid w:val="006B1F52"/>
    <w:rsid w:val="006B2B7D"/>
    <w:rsid w:val="006B3735"/>
    <w:rsid w:val="006B4444"/>
    <w:rsid w:val="006B4ED6"/>
    <w:rsid w:val="006B545D"/>
    <w:rsid w:val="006B54A4"/>
    <w:rsid w:val="006B590E"/>
    <w:rsid w:val="006B6B1D"/>
    <w:rsid w:val="006C0064"/>
    <w:rsid w:val="006C01C7"/>
    <w:rsid w:val="006C02E2"/>
    <w:rsid w:val="006C02F5"/>
    <w:rsid w:val="006C095D"/>
    <w:rsid w:val="006C0FDE"/>
    <w:rsid w:val="006C1336"/>
    <w:rsid w:val="006C17EA"/>
    <w:rsid w:val="006C1F71"/>
    <w:rsid w:val="006C3A55"/>
    <w:rsid w:val="006C41B3"/>
    <w:rsid w:val="006C4676"/>
    <w:rsid w:val="006C6524"/>
    <w:rsid w:val="006C6AED"/>
    <w:rsid w:val="006C6E97"/>
    <w:rsid w:val="006D018E"/>
    <w:rsid w:val="006D1045"/>
    <w:rsid w:val="006D19A4"/>
    <w:rsid w:val="006D19AB"/>
    <w:rsid w:val="006D36FF"/>
    <w:rsid w:val="006D405E"/>
    <w:rsid w:val="006D489F"/>
    <w:rsid w:val="006D4C96"/>
    <w:rsid w:val="006D587A"/>
    <w:rsid w:val="006D5D40"/>
    <w:rsid w:val="006D5F59"/>
    <w:rsid w:val="006D6346"/>
    <w:rsid w:val="006D68CC"/>
    <w:rsid w:val="006D6AF9"/>
    <w:rsid w:val="006D725E"/>
    <w:rsid w:val="006E1BC3"/>
    <w:rsid w:val="006E3318"/>
    <w:rsid w:val="006E482E"/>
    <w:rsid w:val="006E4A28"/>
    <w:rsid w:val="006E6174"/>
    <w:rsid w:val="006E6407"/>
    <w:rsid w:val="006E6483"/>
    <w:rsid w:val="006E6D95"/>
    <w:rsid w:val="006E7584"/>
    <w:rsid w:val="006E78E7"/>
    <w:rsid w:val="006E7F6B"/>
    <w:rsid w:val="006F0730"/>
    <w:rsid w:val="006F085E"/>
    <w:rsid w:val="006F1FD5"/>
    <w:rsid w:val="006F5FBC"/>
    <w:rsid w:val="006F6723"/>
    <w:rsid w:val="006F74EC"/>
    <w:rsid w:val="006F75BC"/>
    <w:rsid w:val="00700128"/>
    <w:rsid w:val="00700B8E"/>
    <w:rsid w:val="00701860"/>
    <w:rsid w:val="00703196"/>
    <w:rsid w:val="00703A7B"/>
    <w:rsid w:val="0070570C"/>
    <w:rsid w:val="00705CCD"/>
    <w:rsid w:val="007061B5"/>
    <w:rsid w:val="007069DE"/>
    <w:rsid w:val="00706E5E"/>
    <w:rsid w:val="00707247"/>
    <w:rsid w:val="007074A1"/>
    <w:rsid w:val="00710B07"/>
    <w:rsid w:val="00710F40"/>
    <w:rsid w:val="007117F7"/>
    <w:rsid w:val="00712931"/>
    <w:rsid w:val="007131B9"/>
    <w:rsid w:val="00713261"/>
    <w:rsid w:val="00713730"/>
    <w:rsid w:val="007151E7"/>
    <w:rsid w:val="007163DB"/>
    <w:rsid w:val="00716C1F"/>
    <w:rsid w:val="00716FE7"/>
    <w:rsid w:val="00717719"/>
    <w:rsid w:val="00717961"/>
    <w:rsid w:val="00720631"/>
    <w:rsid w:val="00720FFF"/>
    <w:rsid w:val="007212A4"/>
    <w:rsid w:val="00722E55"/>
    <w:rsid w:val="00723B4B"/>
    <w:rsid w:val="00723E0B"/>
    <w:rsid w:val="00724712"/>
    <w:rsid w:val="00724B5E"/>
    <w:rsid w:val="007258C4"/>
    <w:rsid w:val="0073084C"/>
    <w:rsid w:val="00731ACE"/>
    <w:rsid w:val="00731EC0"/>
    <w:rsid w:val="007321C2"/>
    <w:rsid w:val="00732C52"/>
    <w:rsid w:val="00733522"/>
    <w:rsid w:val="007344D7"/>
    <w:rsid w:val="00735054"/>
    <w:rsid w:val="007355A7"/>
    <w:rsid w:val="0073735B"/>
    <w:rsid w:val="007401DB"/>
    <w:rsid w:val="00741E00"/>
    <w:rsid w:val="00741F50"/>
    <w:rsid w:val="0074211F"/>
    <w:rsid w:val="00742E15"/>
    <w:rsid w:val="007439E5"/>
    <w:rsid w:val="00744438"/>
    <w:rsid w:val="007459D5"/>
    <w:rsid w:val="00746384"/>
    <w:rsid w:val="00746AEE"/>
    <w:rsid w:val="00750006"/>
    <w:rsid w:val="0075008B"/>
    <w:rsid w:val="007503F0"/>
    <w:rsid w:val="00750444"/>
    <w:rsid w:val="007518A6"/>
    <w:rsid w:val="007523FA"/>
    <w:rsid w:val="00752536"/>
    <w:rsid w:val="00754EEA"/>
    <w:rsid w:val="00756106"/>
    <w:rsid w:val="00757F40"/>
    <w:rsid w:val="00760058"/>
    <w:rsid w:val="0076011C"/>
    <w:rsid w:val="007612D4"/>
    <w:rsid w:val="007617EC"/>
    <w:rsid w:val="0076469D"/>
    <w:rsid w:val="007647A4"/>
    <w:rsid w:val="00764F01"/>
    <w:rsid w:val="00764F8A"/>
    <w:rsid w:val="00766212"/>
    <w:rsid w:val="00766216"/>
    <w:rsid w:val="00766598"/>
    <w:rsid w:val="00766A01"/>
    <w:rsid w:val="00766E63"/>
    <w:rsid w:val="0076735E"/>
    <w:rsid w:val="007710C8"/>
    <w:rsid w:val="00772BB4"/>
    <w:rsid w:val="007736C2"/>
    <w:rsid w:val="007739CF"/>
    <w:rsid w:val="00773BA2"/>
    <w:rsid w:val="00774C91"/>
    <w:rsid w:val="00774FB4"/>
    <w:rsid w:val="007753AE"/>
    <w:rsid w:val="00775EB4"/>
    <w:rsid w:val="00775F3C"/>
    <w:rsid w:val="00780C24"/>
    <w:rsid w:val="007818C6"/>
    <w:rsid w:val="007844D8"/>
    <w:rsid w:val="007854BB"/>
    <w:rsid w:val="00791588"/>
    <w:rsid w:val="00793262"/>
    <w:rsid w:val="00793C69"/>
    <w:rsid w:val="00795199"/>
    <w:rsid w:val="007A0799"/>
    <w:rsid w:val="007A157A"/>
    <w:rsid w:val="007A26AF"/>
    <w:rsid w:val="007A29CF"/>
    <w:rsid w:val="007A2CD4"/>
    <w:rsid w:val="007A4311"/>
    <w:rsid w:val="007A515D"/>
    <w:rsid w:val="007A51EF"/>
    <w:rsid w:val="007A77E3"/>
    <w:rsid w:val="007A77EC"/>
    <w:rsid w:val="007B0A56"/>
    <w:rsid w:val="007B1314"/>
    <w:rsid w:val="007B1896"/>
    <w:rsid w:val="007B2425"/>
    <w:rsid w:val="007B251A"/>
    <w:rsid w:val="007B2FAC"/>
    <w:rsid w:val="007B3733"/>
    <w:rsid w:val="007B454C"/>
    <w:rsid w:val="007B55E2"/>
    <w:rsid w:val="007B5E86"/>
    <w:rsid w:val="007B6067"/>
    <w:rsid w:val="007B645F"/>
    <w:rsid w:val="007B676B"/>
    <w:rsid w:val="007B6A4F"/>
    <w:rsid w:val="007B70BA"/>
    <w:rsid w:val="007B7B3E"/>
    <w:rsid w:val="007C0F97"/>
    <w:rsid w:val="007C2196"/>
    <w:rsid w:val="007C2399"/>
    <w:rsid w:val="007C28AC"/>
    <w:rsid w:val="007C6C54"/>
    <w:rsid w:val="007C6DCB"/>
    <w:rsid w:val="007C6F52"/>
    <w:rsid w:val="007D016D"/>
    <w:rsid w:val="007D0C2F"/>
    <w:rsid w:val="007D113E"/>
    <w:rsid w:val="007D1D33"/>
    <w:rsid w:val="007D2DF2"/>
    <w:rsid w:val="007D3925"/>
    <w:rsid w:val="007D411D"/>
    <w:rsid w:val="007D4FD5"/>
    <w:rsid w:val="007D5469"/>
    <w:rsid w:val="007D5534"/>
    <w:rsid w:val="007D55AA"/>
    <w:rsid w:val="007D727B"/>
    <w:rsid w:val="007D7A5A"/>
    <w:rsid w:val="007E0043"/>
    <w:rsid w:val="007E049B"/>
    <w:rsid w:val="007E04A7"/>
    <w:rsid w:val="007E1190"/>
    <w:rsid w:val="007E1E11"/>
    <w:rsid w:val="007E225B"/>
    <w:rsid w:val="007E2746"/>
    <w:rsid w:val="007E45FB"/>
    <w:rsid w:val="007E4651"/>
    <w:rsid w:val="007E5186"/>
    <w:rsid w:val="007E5BE5"/>
    <w:rsid w:val="007E5CEA"/>
    <w:rsid w:val="007E7680"/>
    <w:rsid w:val="007E7F03"/>
    <w:rsid w:val="007F084E"/>
    <w:rsid w:val="007F090D"/>
    <w:rsid w:val="007F147F"/>
    <w:rsid w:val="007F1963"/>
    <w:rsid w:val="007F2F3D"/>
    <w:rsid w:val="007F4A8D"/>
    <w:rsid w:val="007F59D1"/>
    <w:rsid w:val="007F5DAE"/>
    <w:rsid w:val="007F62B8"/>
    <w:rsid w:val="007F6A62"/>
    <w:rsid w:val="00800096"/>
    <w:rsid w:val="0080297E"/>
    <w:rsid w:val="008035FC"/>
    <w:rsid w:val="00806661"/>
    <w:rsid w:val="00806BA6"/>
    <w:rsid w:val="00806CA0"/>
    <w:rsid w:val="0081076F"/>
    <w:rsid w:val="0081427E"/>
    <w:rsid w:val="00814C9B"/>
    <w:rsid w:val="00814E57"/>
    <w:rsid w:val="00815BFD"/>
    <w:rsid w:val="0081635B"/>
    <w:rsid w:val="00816490"/>
    <w:rsid w:val="0081782B"/>
    <w:rsid w:val="00820A46"/>
    <w:rsid w:val="00820D3E"/>
    <w:rsid w:val="00820F08"/>
    <w:rsid w:val="00821B85"/>
    <w:rsid w:val="0082224E"/>
    <w:rsid w:val="008225DC"/>
    <w:rsid w:val="00822E73"/>
    <w:rsid w:val="008230FA"/>
    <w:rsid w:val="008237A3"/>
    <w:rsid w:val="00823F6D"/>
    <w:rsid w:val="008248A3"/>
    <w:rsid w:val="0082650D"/>
    <w:rsid w:val="00827DB3"/>
    <w:rsid w:val="0083005E"/>
    <w:rsid w:val="00830471"/>
    <w:rsid w:val="00832AC7"/>
    <w:rsid w:val="00832D55"/>
    <w:rsid w:val="00833F11"/>
    <w:rsid w:val="00834FE7"/>
    <w:rsid w:val="00835CCE"/>
    <w:rsid w:val="00835F7C"/>
    <w:rsid w:val="00836806"/>
    <w:rsid w:val="00836C72"/>
    <w:rsid w:val="00836D20"/>
    <w:rsid w:val="00837970"/>
    <w:rsid w:val="00837B41"/>
    <w:rsid w:val="00840960"/>
    <w:rsid w:val="008433F7"/>
    <w:rsid w:val="008441B9"/>
    <w:rsid w:val="0084458F"/>
    <w:rsid w:val="0084481D"/>
    <w:rsid w:val="00845790"/>
    <w:rsid w:val="00845AED"/>
    <w:rsid w:val="008470C6"/>
    <w:rsid w:val="00850045"/>
    <w:rsid w:val="00850B3A"/>
    <w:rsid w:val="00850BF9"/>
    <w:rsid w:val="00850D57"/>
    <w:rsid w:val="00851AF5"/>
    <w:rsid w:val="00852C20"/>
    <w:rsid w:val="008531C3"/>
    <w:rsid w:val="00853881"/>
    <w:rsid w:val="00854207"/>
    <w:rsid w:val="008546B4"/>
    <w:rsid w:val="00854AF4"/>
    <w:rsid w:val="0085559F"/>
    <w:rsid w:val="00855FA5"/>
    <w:rsid w:val="00856C1C"/>
    <w:rsid w:val="00860BE0"/>
    <w:rsid w:val="0086223C"/>
    <w:rsid w:val="00863643"/>
    <w:rsid w:val="00864F5A"/>
    <w:rsid w:val="00865E7B"/>
    <w:rsid w:val="00865ED6"/>
    <w:rsid w:val="00866162"/>
    <w:rsid w:val="00866201"/>
    <w:rsid w:val="00866439"/>
    <w:rsid w:val="00867B4A"/>
    <w:rsid w:val="0087050E"/>
    <w:rsid w:val="008734BA"/>
    <w:rsid w:val="00873EB6"/>
    <w:rsid w:val="00874C6C"/>
    <w:rsid w:val="0087508F"/>
    <w:rsid w:val="00875872"/>
    <w:rsid w:val="0087597C"/>
    <w:rsid w:val="00875E23"/>
    <w:rsid w:val="0087661B"/>
    <w:rsid w:val="00876718"/>
    <w:rsid w:val="0087713E"/>
    <w:rsid w:val="008806C4"/>
    <w:rsid w:val="00880DC6"/>
    <w:rsid w:val="00881353"/>
    <w:rsid w:val="0088246D"/>
    <w:rsid w:val="0088247A"/>
    <w:rsid w:val="00882C5C"/>
    <w:rsid w:val="00882C72"/>
    <w:rsid w:val="00882F85"/>
    <w:rsid w:val="00884127"/>
    <w:rsid w:val="00886405"/>
    <w:rsid w:val="0088673E"/>
    <w:rsid w:val="00886F39"/>
    <w:rsid w:val="0088773D"/>
    <w:rsid w:val="00890FFE"/>
    <w:rsid w:val="00892EA8"/>
    <w:rsid w:val="008931C8"/>
    <w:rsid w:val="008933FD"/>
    <w:rsid w:val="00894B20"/>
    <w:rsid w:val="00895690"/>
    <w:rsid w:val="0089738D"/>
    <w:rsid w:val="008A05D0"/>
    <w:rsid w:val="008A0D44"/>
    <w:rsid w:val="008A194E"/>
    <w:rsid w:val="008A2818"/>
    <w:rsid w:val="008A34F9"/>
    <w:rsid w:val="008A5243"/>
    <w:rsid w:val="008A5527"/>
    <w:rsid w:val="008A5AED"/>
    <w:rsid w:val="008A624B"/>
    <w:rsid w:val="008A6970"/>
    <w:rsid w:val="008A7156"/>
    <w:rsid w:val="008A73AE"/>
    <w:rsid w:val="008A7B70"/>
    <w:rsid w:val="008B0C57"/>
    <w:rsid w:val="008B1CBA"/>
    <w:rsid w:val="008B3249"/>
    <w:rsid w:val="008B4146"/>
    <w:rsid w:val="008B4611"/>
    <w:rsid w:val="008B54E0"/>
    <w:rsid w:val="008B603E"/>
    <w:rsid w:val="008B65E9"/>
    <w:rsid w:val="008B6D67"/>
    <w:rsid w:val="008B7198"/>
    <w:rsid w:val="008B763D"/>
    <w:rsid w:val="008C049E"/>
    <w:rsid w:val="008C1136"/>
    <w:rsid w:val="008C14E4"/>
    <w:rsid w:val="008C15F3"/>
    <w:rsid w:val="008C1E2B"/>
    <w:rsid w:val="008C2AD1"/>
    <w:rsid w:val="008C38B9"/>
    <w:rsid w:val="008C3E04"/>
    <w:rsid w:val="008C4382"/>
    <w:rsid w:val="008C5CB4"/>
    <w:rsid w:val="008C62A1"/>
    <w:rsid w:val="008C7331"/>
    <w:rsid w:val="008C7B07"/>
    <w:rsid w:val="008D0764"/>
    <w:rsid w:val="008D1208"/>
    <w:rsid w:val="008D1656"/>
    <w:rsid w:val="008D17CB"/>
    <w:rsid w:val="008D23E3"/>
    <w:rsid w:val="008D3A22"/>
    <w:rsid w:val="008D4434"/>
    <w:rsid w:val="008D54D6"/>
    <w:rsid w:val="008D5C77"/>
    <w:rsid w:val="008D73A4"/>
    <w:rsid w:val="008D7C90"/>
    <w:rsid w:val="008E1107"/>
    <w:rsid w:val="008E1F78"/>
    <w:rsid w:val="008E23D8"/>
    <w:rsid w:val="008E31B8"/>
    <w:rsid w:val="008E45D5"/>
    <w:rsid w:val="008E45EE"/>
    <w:rsid w:val="008E4F6D"/>
    <w:rsid w:val="008E507B"/>
    <w:rsid w:val="008E50D8"/>
    <w:rsid w:val="008E51EB"/>
    <w:rsid w:val="008E5A56"/>
    <w:rsid w:val="008E6B7D"/>
    <w:rsid w:val="008E6BD3"/>
    <w:rsid w:val="008E764D"/>
    <w:rsid w:val="008E7EA4"/>
    <w:rsid w:val="008E7EAF"/>
    <w:rsid w:val="008F01B8"/>
    <w:rsid w:val="008F0453"/>
    <w:rsid w:val="008F072A"/>
    <w:rsid w:val="008F0EAD"/>
    <w:rsid w:val="008F14C1"/>
    <w:rsid w:val="008F18E3"/>
    <w:rsid w:val="008F2EEA"/>
    <w:rsid w:val="008F4325"/>
    <w:rsid w:val="008F53EA"/>
    <w:rsid w:val="008F645A"/>
    <w:rsid w:val="008F70B9"/>
    <w:rsid w:val="008F77CB"/>
    <w:rsid w:val="008F7BEE"/>
    <w:rsid w:val="008F7DCF"/>
    <w:rsid w:val="009007CA"/>
    <w:rsid w:val="00900955"/>
    <w:rsid w:val="009009F7"/>
    <w:rsid w:val="00900DFA"/>
    <w:rsid w:val="00900EA1"/>
    <w:rsid w:val="00901639"/>
    <w:rsid w:val="009016DC"/>
    <w:rsid w:val="009017AD"/>
    <w:rsid w:val="0090252E"/>
    <w:rsid w:val="00902971"/>
    <w:rsid w:val="009033AB"/>
    <w:rsid w:val="00905603"/>
    <w:rsid w:val="00905733"/>
    <w:rsid w:val="00905AC7"/>
    <w:rsid w:val="00905C92"/>
    <w:rsid w:val="00906058"/>
    <w:rsid w:val="00907150"/>
    <w:rsid w:val="00907FA9"/>
    <w:rsid w:val="0091178E"/>
    <w:rsid w:val="00913439"/>
    <w:rsid w:val="00915D62"/>
    <w:rsid w:val="00916CF4"/>
    <w:rsid w:val="009170C8"/>
    <w:rsid w:val="009201B0"/>
    <w:rsid w:val="0092359C"/>
    <w:rsid w:val="00923DD8"/>
    <w:rsid w:val="00924805"/>
    <w:rsid w:val="00925392"/>
    <w:rsid w:val="00927029"/>
    <w:rsid w:val="0092735E"/>
    <w:rsid w:val="00930E9A"/>
    <w:rsid w:val="009320B6"/>
    <w:rsid w:val="009346A9"/>
    <w:rsid w:val="00934A33"/>
    <w:rsid w:val="00935278"/>
    <w:rsid w:val="00935372"/>
    <w:rsid w:val="00936038"/>
    <w:rsid w:val="00936E9D"/>
    <w:rsid w:val="009412BF"/>
    <w:rsid w:val="00941FA2"/>
    <w:rsid w:val="009421A8"/>
    <w:rsid w:val="009453C5"/>
    <w:rsid w:val="00945D13"/>
    <w:rsid w:val="00945D5B"/>
    <w:rsid w:val="00951E4B"/>
    <w:rsid w:val="0095233A"/>
    <w:rsid w:val="00952B72"/>
    <w:rsid w:val="009539E7"/>
    <w:rsid w:val="00953BE1"/>
    <w:rsid w:val="009543FD"/>
    <w:rsid w:val="0095478E"/>
    <w:rsid w:val="00954F29"/>
    <w:rsid w:val="00955066"/>
    <w:rsid w:val="00956E0F"/>
    <w:rsid w:val="00960C68"/>
    <w:rsid w:val="00962DC5"/>
    <w:rsid w:val="009639D5"/>
    <w:rsid w:val="00963F97"/>
    <w:rsid w:val="00965158"/>
    <w:rsid w:val="0096535B"/>
    <w:rsid w:val="00965503"/>
    <w:rsid w:val="0096592C"/>
    <w:rsid w:val="009662AD"/>
    <w:rsid w:val="00966878"/>
    <w:rsid w:val="00970BB1"/>
    <w:rsid w:val="00970FC0"/>
    <w:rsid w:val="0097135C"/>
    <w:rsid w:val="0097173E"/>
    <w:rsid w:val="0097193A"/>
    <w:rsid w:val="00972663"/>
    <w:rsid w:val="009730E9"/>
    <w:rsid w:val="009741FA"/>
    <w:rsid w:val="00974247"/>
    <w:rsid w:val="00974318"/>
    <w:rsid w:val="00975BED"/>
    <w:rsid w:val="00976211"/>
    <w:rsid w:val="009801E4"/>
    <w:rsid w:val="00980E26"/>
    <w:rsid w:val="00981BEA"/>
    <w:rsid w:val="00982162"/>
    <w:rsid w:val="00982D09"/>
    <w:rsid w:val="00982D55"/>
    <w:rsid w:val="00984273"/>
    <w:rsid w:val="00984538"/>
    <w:rsid w:val="00984B82"/>
    <w:rsid w:val="00984DB4"/>
    <w:rsid w:val="009855A7"/>
    <w:rsid w:val="00986BF9"/>
    <w:rsid w:val="00987A77"/>
    <w:rsid w:val="00987AF0"/>
    <w:rsid w:val="00990CE8"/>
    <w:rsid w:val="00994853"/>
    <w:rsid w:val="009956FC"/>
    <w:rsid w:val="009959D0"/>
    <w:rsid w:val="00995CBB"/>
    <w:rsid w:val="00996FCC"/>
    <w:rsid w:val="00997BC4"/>
    <w:rsid w:val="009A1586"/>
    <w:rsid w:val="009A26BF"/>
    <w:rsid w:val="009A2CBA"/>
    <w:rsid w:val="009A2E30"/>
    <w:rsid w:val="009A443C"/>
    <w:rsid w:val="009A5E83"/>
    <w:rsid w:val="009A6201"/>
    <w:rsid w:val="009A6299"/>
    <w:rsid w:val="009A778B"/>
    <w:rsid w:val="009B0220"/>
    <w:rsid w:val="009B0BC6"/>
    <w:rsid w:val="009B0FB8"/>
    <w:rsid w:val="009B12E9"/>
    <w:rsid w:val="009B17AC"/>
    <w:rsid w:val="009B1C8F"/>
    <w:rsid w:val="009B2781"/>
    <w:rsid w:val="009B2DE5"/>
    <w:rsid w:val="009B4D86"/>
    <w:rsid w:val="009B59EA"/>
    <w:rsid w:val="009B7926"/>
    <w:rsid w:val="009C046B"/>
    <w:rsid w:val="009C0C1B"/>
    <w:rsid w:val="009C1391"/>
    <w:rsid w:val="009C1976"/>
    <w:rsid w:val="009C1B87"/>
    <w:rsid w:val="009C2470"/>
    <w:rsid w:val="009C3295"/>
    <w:rsid w:val="009C472F"/>
    <w:rsid w:val="009C5022"/>
    <w:rsid w:val="009C5708"/>
    <w:rsid w:val="009C5C98"/>
    <w:rsid w:val="009C5D3D"/>
    <w:rsid w:val="009C691A"/>
    <w:rsid w:val="009C7D5A"/>
    <w:rsid w:val="009D0FC1"/>
    <w:rsid w:val="009D1CBE"/>
    <w:rsid w:val="009D1F0E"/>
    <w:rsid w:val="009D2211"/>
    <w:rsid w:val="009D34B9"/>
    <w:rsid w:val="009D3CF2"/>
    <w:rsid w:val="009D5C46"/>
    <w:rsid w:val="009D5F1E"/>
    <w:rsid w:val="009D67C2"/>
    <w:rsid w:val="009D71F3"/>
    <w:rsid w:val="009E0A9E"/>
    <w:rsid w:val="009E12C7"/>
    <w:rsid w:val="009E2055"/>
    <w:rsid w:val="009E267E"/>
    <w:rsid w:val="009E5B2F"/>
    <w:rsid w:val="009E5F54"/>
    <w:rsid w:val="009E6187"/>
    <w:rsid w:val="009E6A23"/>
    <w:rsid w:val="009E6C28"/>
    <w:rsid w:val="009E6DA5"/>
    <w:rsid w:val="009E6FF7"/>
    <w:rsid w:val="009F16BC"/>
    <w:rsid w:val="009F1FFA"/>
    <w:rsid w:val="009F256B"/>
    <w:rsid w:val="009F2E8C"/>
    <w:rsid w:val="009F36E1"/>
    <w:rsid w:val="009F430A"/>
    <w:rsid w:val="009F43E4"/>
    <w:rsid w:val="009F446E"/>
    <w:rsid w:val="009F448D"/>
    <w:rsid w:val="009F5531"/>
    <w:rsid w:val="009F6256"/>
    <w:rsid w:val="009F67BB"/>
    <w:rsid w:val="009F6BBC"/>
    <w:rsid w:val="009F6CE1"/>
    <w:rsid w:val="009F7B9A"/>
    <w:rsid w:val="00A012C9"/>
    <w:rsid w:val="00A012D1"/>
    <w:rsid w:val="00A0205F"/>
    <w:rsid w:val="00A02338"/>
    <w:rsid w:val="00A02448"/>
    <w:rsid w:val="00A04027"/>
    <w:rsid w:val="00A05016"/>
    <w:rsid w:val="00A05537"/>
    <w:rsid w:val="00A067D0"/>
    <w:rsid w:val="00A06FD9"/>
    <w:rsid w:val="00A07250"/>
    <w:rsid w:val="00A07859"/>
    <w:rsid w:val="00A07A85"/>
    <w:rsid w:val="00A115B2"/>
    <w:rsid w:val="00A123DE"/>
    <w:rsid w:val="00A1353F"/>
    <w:rsid w:val="00A1453F"/>
    <w:rsid w:val="00A14CF5"/>
    <w:rsid w:val="00A14FE6"/>
    <w:rsid w:val="00A155CC"/>
    <w:rsid w:val="00A157D7"/>
    <w:rsid w:val="00A15FAA"/>
    <w:rsid w:val="00A162BE"/>
    <w:rsid w:val="00A166D2"/>
    <w:rsid w:val="00A169E6"/>
    <w:rsid w:val="00A16A6D"/>
    <w:rsid w:val="00A16B60"/>
    <w:rsid w:val="00A16D8D"/>
    <w:rsid w:val="00A176A9"/>
    <w:rsid w:val="00A2148C"/>
    <w:rsid w:val="00A21C3E"/>
    <w:rsid w:val="00A220A5"/>
    <w:rsid w:val="00A22177"/>
    <w:rsid w:val="00A225E3"/>
    <w:rsid w:val="00A24144"/>
    <w:rsid w:val="00A24408"/>
    <w:rsid w:val="00A246FD"/>
    <w:rsid w:val="00A274C6"/>
    <w:rsid w:val="00A27BF6"/>
    <w:rsid w:val="00A318DF"/>
    <w:rsid w:val="00A31918"/>
    <w:rsid w:val="00A31D56"/>
    <w:rsid w:val="00A32137"/>
    <w:rsid w:val="00A32F16"/>
    <w:rsid w:val="00A33B7F"/>
    <w:rsid w:val="00A36924"/>
    <w:rsid w:val="00A37C53"/>
    <w:rsid w:val="00A37F02"/>
    <w:rsid w:val="00A400A9"/>
    <w:rsid w:val="00A403E1"/>
    <w:rsid w:val="00A40C67"/>
    <w:rsid w:val="00A413BA"/>
    <w:rsid w:val="00A41E0B"/>
    <w:rsid w:val="00A42E1E"/>
    <w:rsid w:val="00A431C4"/>
    <w:rsid w:val="00A43A24"/>
    <w:rsid w:val="00A43B22"/>
    <w:rsid w:val="00A43B32"/>
    <w:rsid w:val="00A442ED"/>
    <w:rsid w:val="00A4473E"/>
    <w:rsid w:val="00A45F8F"/>
    <w:rsid w:val="00A478BB"/>
    <w:rsid w:val="00A505FE"/>
    <w:rsid w:val="00A521C5"/>
    <w:rsid w:val="00A52250"/>
    <w:rsid w:val="00A55C5B"/>
    <w:rsid w:val="00A55E21"/>
    <w:rsid w:val="00A56289"/>
    <w:rsid w:val="00A56BD9"/>
    <w:rsid w:val="00A56C87"/>
    <w:rsid w:val="00A56F69"/>
    <w:rsid w:val="00A5736D"/>
    <w:rsid w:val="00A577C1"/>
    <w:rsid w:val="00A57826"/>
    <w:rsid w:val="00A6172D"/>
    <w:rsid w:val="00A6175E"/>
    <w:rsid w:val="00A61967"/>
    <w:rsid w:val="00A62770"/>
    <w:rsid w:val="00A6289C"/>
    <w:rsid w:val="00A62D93"/>
    <w:rsid w:val="00A63CD0"/>
    <w:rsid w:val="00A641B8"/>
    <w:rsid w:val="00A649A4"/>
    <w:rsid w:val="00A661AF"/>
    <w:rsid w:val="00A6653D"/>
    <w:rsid w:val="00A6692B"/>
    <w:rsid w:val="00A66A99"/>
    <w:rsid w:val="00A67CB8"/>
    <w:rsid w:val="00A7026B"/>
    <w:rsid w:val="00A71990"/>
    <w:rsid w:val="00A72490"/>
    <w:rsid w:val="00A75949"/>
    <w:rsid w:val="00A75CEF"/>
    <w:rsid w:val="00A768AB"/>
    <w:rsid w:val="00A76F73"/>
    <w:rsid w:val="00A8003D"/>
    <w:rsid w:val="00A802DD"/>
    <w:rsid w:val="00A80E51"/>
    <w:rsid w:val="00A817C9"/>
    <w:rsid w:val="00A82A73"/>
    <w:rsid w:val="00A8380F"/>
    <w:rsid w:val="00A83A7C"/>
    <w:rsid w:val="00A841AD"/>
    <w:rsid w:val="00A8464D"/>
    <w:rsid w:val="00A85348"/>
    <w:rsid w:val="00A863EC"/>
    <w:rsid w:val="00A87260"/>
    <w:rsid w:val="00A87AAB"/>
    <w:rsid w:val="00A901DC"/>
    <w:rsid w:val="00A90680"/>
    <w:rsid w:val="00A90E17"/>
    <w:rsid w:val="00A90E40"/>
    <w:rsid w:val="00A91162"/>
    <w:rsid w:val="00A91825"/>
    <w:rsid w:val="00A92FCD"/>
    <w:rsid w:val="00A93069"/>
    <w:rsid w:val="00A9456D"/>
    <w:rsid w:val="00A95255"/>
    <w:rsid w:val="00A95DBB"/>
    <w:rsid w:val="00A96E6A"/>
    <w:rsid w:val="00A97EFA"/>
    <w:rsid w:val="00AA038A"/>
    <w:rsid w:val="00AA0831"/>
    <w:rsid w:val="00AA12E0"/>
    <w:rsid w:val="00AA1725"/>
    <w:rsid w:val="00AA1D46"/>
    <w:rsid w:val="00AA2D64"/>
    <w:rsid w:val="00AA35CD"/>
    <w:rsid w:val="00AA38DC"/>
    <w:rsid w:val="00AA3D3D"/>
    <w:rsid w:val="00AA4B85"/>
    <w:rsid w:val="00AA6C10"/>
    <w:rsid w:val="00AA71ED"/>
    <w:rsid w:val="00AA7C62"/>
    <w:rsid w:val="00AB19E5"/>
    <w:rsid w:val="00AB209B"/>
    <w:rsid w:val="00AB31BB"/>
    <w:rsid w:val="00AB35A9"/>
    <w:rsid w:val="00AB3B00"/>
    <w:rsid w:val="00AB62C6"/>
    <w:rsid w:val="00AB77D4"/>
    <w:rsid w:val="00AB7D2E"/>
    <w:rsid w:val="00AC0AAE"/>
    <w:rsid w:val="00AC0C4C"/>
    <w:rsid w:val="00AC0EDC"/>
    <w:rsid w:val="00AC1154"/>
    <w:rsid w:val="00AC1B65"/>
    <w:rsid w:val="00AC1C3C"/>
    <w:rsid w:val="00AC1F80"/>
    <w:rsid w:val="00AC2C1D"/>
    <w:rsid w:val="00AC3D6C"/>
    <w:rsid w:val="00AC4E54"/>
    <w:rsid w:val="00AC60A8"/>
    <w:rsid w:val="00AC7E7F"/>
    <w:rsid w:val="00AD04A0"/>
    <w:rsid w:val="00AD0963"/>
    <w:rsid w:val="00AD182A"/>
    <w:rsid w:val="00AD1BAA"/>
    <w:rsid w:val="00AD21D0"/>
    <w:rsid w:val="00AD2D5F"/>
    <w:rsid w:val="00AD307C"/>
    <w:rsid w:val="00AD310D"/>
    <w:rsid w:val="00AD3836"/>
    <w:rsid w:val="00AD3D34"/>
    <w:rsid w:val="00AD484A"/>
    <w:rsid w:val="00AD49E5"/>
    <w:rsid w:val="00AD5E13"/>
    <w:rsid w:val="00AD70AB"/>
    <w:rsid w:val="00AE0C0E"/>
    <w:rsid w:val="00AE1909"/>
    <w:rsid w:val="00AE1D7A"/>
    <w:rsid w:val="00AE2B10"/>
    <w:rsid w:val="00AE4778"/>
    <w:rsid w:val="00AE49C9"/>
    <w:rsid w:val="00AE5C05"/>
    <w:rsid w:val="00AF222B"/>
    <w:rsid w:val="00AF2892"/>
    <w:rsid w:val="00AF3510"/>
    <w:rsid w:val="00AF3E8A"/>
    <w:rsid w:val="00AF47E0"/>
    <w:rsid w:val="00AF5E83"/>
    <w:rsid w:val="00AF6262"/>
    <w:rsid w:val="00AF63EA"/>
    <w:rsid w:val="00AF68D2"/>
    <w:rsid w:val="00AF6DE1"/>
    <w:rsid w:val="00B00127"/>
    <w:rsid w:val="00B01EBB"/>
    <w:rsid w:val="00B032D9"/>
    <w:rsid w:val="00B04126"/>
    <w:rsid w:val="00B045C0"/>
    <w:rsid w:val="00B04E51"/>
    <w:rsid w:val="00B06C17"/>
    <w:rsid w:val="00B07791"/>
    <w:rsid w:val="00B109B4"/>
    <w:rsid w:val="00B10ABC"/>
    <w:rsid w:val="00B11B27"/>
    <w:rsid w:val="00B1326D"/>
    <w:rsid w:val="00B16F79"/>
    <w:rsid w:val="00B20DD3"/>
    <w:rsid w:val="00B21788"/>
    <w:rsid w:val="00B217D0"/>
    <w:rsid w:val="00B244D9"/>
    <w:rsid w:val="00B248D1"/>
    <w:rsid w:val="00B257ED"/>
    <w:rsid w:val="00B26E6C"/>
    <w:rsid w:val="00B3032B"/>
    <w:rsid w:val="00B30E67"/>
    <w:rsid w:val="00B316E9"/>
    <w:rsid w:val="00B318C8"/>
    <w:rsid w:val="00B31B55"/>
    <w:rsid w:val="00B32212"/>
    <w:rsid w:val="00B33032"/>
    <w:rsid w:val="00B341C6"/>
    <w:rsid w:val="00B353F4"/>
    <w:rsid w:val="00B35A3C"/>
    <w:rsid w:val="00B362AB"/>
    <w:rsid w:val="00B368C1"/>
    <w:rsid w:val="00B40ADD"/>
    <w:rsid w:val="00B41FEC"/>
    <w:rsid w:val="00B432DE"/>
    <w:rsid w:val="00B448DC"/>
    <w:rsid w:val="00B4505C"/>
    <w:rsid w:val="00B47A0C"/>
    <w:rsid w:val="00B47CF0"/>
    <w:rsid w:val="00B50B83"/>
    <w:rsid w:val="00B50EDB"/>
    <w:rsid w:val="00B51BE1"/>
    <w:rsid w:val="00B51C99"/>
    <w:rsid w:val="00B51E13"/>
    <w:rsid w:val="00B52132"/>
    <w:rsid w:val="00B532C5"/>
    <w:rsid w:val="00B546C1"/>
    <w:rsid w:val="00B548E8"/>
    <w:rsid w:val="00B551FF"/>
    <w:rsid w:val="00B552D1"/>
    <w:rsid w:val="00B55860"/>
    <w:rsid w:val="00B55CB2"/>
    <w:rsid w:val="00B55FA2"/>
    <w:rsid w:val="00B56059"/>
    <w:rsid w:val="00B56540"/>
    <w:rsid w:val="00B568DC"/>
    <w:rsid w:val="00B572AC"/>
    <w:rsid w:val="00B60022"/>
    <w:rsid w:val="00B60EE6"/>
    <w:rsid w:val="00B61371"/>
    <w:rsid w:val="00B61454"/>
    <w:rsid w:val="00B61D02"/>
    <w:rsid w:val="00B61FBB"/>
    <w:rsid w:val="00B62A79"/>
    <w:rsid w:val="00B63748"/>
    <w:rsid w:val="00B659F4"/>
    <w:rsid w:val="00B65A5A"/>
    <w:rsid w:val="00B670C5"/>
    <w:rsid w:val="00B67144"/>
    <w:rsid w:val="00B67A3A"/>
    <w:rsid w:val="00B715C2"/>
    <w:rsid w:val="00B7214A"/>
    <w:rsid w:val="00B72BC4"/>
    <w:rsid w:val="00B74D9E"/>
    <w:rsid w:val="00B77FCC"/>
    <w:rsid w:val="00B81FC4"/>
    <w:rsid w:val="00B8390D"/>
    <w:rsid w:val="00B8475A"/>
    <w:rsid w:val="00B856AF"/>
    <w:rsid w:val="00B86C61"/>
    <w:rsid w:val="00B872BC"/>
    <w:rsid w:val="00B875A6"/>
    <w:rsid w:val="00B9026E"/>
    <w:rsid w:val="00B90718"/>
    <w:rsid w:val="00B923C3"/>
    <w:rsid w:val="00B9244D"/>
    <w:rsid w:val="00B926B3"/>
    <w:rsid w:val="00B934F6"/>
    <w:rsid w:val="00B9417F"/>
    <w:rsid w:val="00B945C6"/>
    <w:rsid w:val="00B9536E"/>
    <w:rsid w:val="00B95BD2"/>
    <w:rsid w:val="00B9724A"/>
    <w:rsid w:val="00BA04CD"/>
    <w:rsid w:val="00BA10B6"/>
    <w:rsid w:val="00BA1911"/>
    <w:rsid w:val="00BA1DE5"/>
    <w:rsid w:val="00BA1E0B"/>
    <w:rsid w:val="00BA39F1"/>
    <w:rsid w:val="00BA49CF"/>
    <w:rsid w:val="00BA4E88"/>
    <w:rsid w:val="00BA5A03"/>
    <w:rsid w:val="00BA61D4"/>
    <w:rsid w:val="00BA62C9"/>
    <w:rsid w:val="00BA62F9"/>
    <w:rsid w:val="00BA68CD"/>
    <w:rsid w:val="00BA6DEB"/>
    <w:rsid w:val="00BA7401"/>
    <w:rsid w:val="00BB00F5"/>
    <w:rsid w:val="00BB03EA"/>
    <w:rsid w:val="00BB16DD"/>
    <w:rsid w:val="00BB23CC"/>
    <w:rsid w:val="00BB2AF7"/>
    <w:rsid w:val="00BB45CE"/>
    <w:rsid w:val="00BB4D73"/>
    <w:rsid w:val="00BB7CFC"/>
    <w:rsid w:val="00BC00BC"/>
    <w:rsid w:val="00BC049D"/>
    <w:rsid w:val="00BC158B"/>
    <w:rsid w:val="00BC15E5"/>
    <w:rsid w:val="00BC3C70"/>
    <w:rsid w:val="00BC41C5"/>
    <w:rsid w:val="00BC43C4"/>
    <w:rsid w:val="00BC558D"/>
    <w:rsid w:val="00BC611A"/>
    <w:rsid w:val="00BC69AA"/>
    <w:rsid w:val="00BC6B0A"/>
    <w:rsid w:val="00BD07E6"/>
    <w:rsid w:val="00BD10FE"/>
    <w:rsid w:val="00BD2CFE"/>
    <w:rsid w:val="00BD30E0"/>
    <w:rsid w:val="00BD385B"/>
    <w:rsid w:val="00BD53A6"/>
    <w:rsid w:val="00BD5DA4"/>
    <w:rsid w:val="00BD6170"/>
    <w:rsid w:val="00BD66B1"/>
    <w:rsid w:val="00BD6BD7"/>
    <w:rsid w:val="00BD72C2"/>
    <w:rsid w:val="00BE1E33"/>
    <w:rsid w:val="00BE2AE5"/>
    <w:rsid w:val="00BE2C45"/>
    <w:rsid w:val="00BE2E30"/>
    <w:rsid w:val="00BE317F"/>
    <w:rsid w:val="00BE3193"/>
    <w:rsid w:val="00BE3754"/>
    <w:rsid w:val="00BE60C2"/>
    <w:rsid w:val="00BE71C9"/>
    <w:rsid w:val="00BE7812"/>
    <w:rsid w:val="00BF0A4E"/>
    <w:rsid w:val="00BF0E89"/>
    <w:rsid w:val="00BF1275"/>
    <w:rsid w:val="00BF2845"/>
    <w:rsid w:val="00BF35BA"/>
    <w:rsid w:val="00BF4652"/>
    <w:rsid w:val="00BF4906"/>
    <w:rsid w:val="00BF4DE0"/>
    <w:rsid w:val="00BF5142"/>
    <w:rsid w:val="00BF58D0"/>
    <w:rsid w:val="00BF5AC7"/>
    <w:rsid w:val="00BF5CEB"/>
    <w:rsid w:val="00BF5F82"/>
    <w:rsid w:val="00BF6CE2"/>
    <w:rsid w:val="00BF71E9"/>
    <w:rsid w:val="00BF7FCA"/>
    <w:rsid w:val="00C012FB"/>
    <w:rsid w:val="00C014C3"/>
    <w:rsid w:val="00C022C9"/>
    <w:rsid w:val="00C0323D"/>
    <w:rsid w:val="00C03B2C"/>
    <w:rsid w:val="00C04068"/>
    <w:rsid w:val="00C043B1"/>
    <w:rsid w:val="00C0468A"/>
    <w:rsid w:val="00C04DF4"/>
    <w:rsid w:val="00C05BA7"/>
    <w:rsid w:val="00C063FE"/>
    <w:rsid w:val="00C07869"/>
    <w:rsid w:val="00C105FC"/>
    <w:rsid w:val="00C10ECE"/>
    <w:rsid w:val="00C11463"/>
    <w:rsid w:val="00C119B8"/>
    <w:rsid w:val="00C124E5"/>
    <w:rsid w:val="00C12C04"/>
    <w:rsid w:val="00C13654"/>
    <w:rsid w:val="00C13815"/>
    <w:rsid w:val="00C13CEB"/>
    <w:rsid w:val="00C13F6F"/>
    <w:rsid w:val="00C1427D"/>
    <w:rsid w:val="00C15415"/>
    <w:rsid w:val="00C1576C"/>
    <w:rsid w:val="00C1671A"/>
    <w:rsid w:val="00C16B11"/>
    <w:rsid w:val="00C17020"/>
    <w:rsid w:val="00C1778B"/>
    <w:rsid w:val="00C17D6D"/>
    <w:rsid w:val="00C2230D"/>
    <w:rsid w:val="00C22FB7"/>
    <w:rsid w:val="00C2302B"/>
    <w:rsid w:val="00C232CB"/>
    <w:rsid w:val="00C23BCA"/>
    <w:rsid w:val="00C24627"/>
    <w:rsid w:val="00C25C11"/>
    <w:rsid w:val="00C266FA"/>
    <w:rsid w:val="00C26DA5"/>
    <w:rsid w:val="00C27282"/>
    <w:rsid w:val="00C279A7"/>
    <w:rsid w:val="00C27C0E"/>
    <w:rsid w:val="00C301F2"/>
    <w:rsid w:val="00C30A40"/>
    <w:rsid w:val="00C30EA4"/>
    <w:rsid w:val="00C32301"/>
    <w:rsid w:val="00C32DCB"/>
    <w:rsid w:val="00C32E5D"/>
    <w:rsid w:val="00C334BB"/>
    <w:rsid w:val="00C33C71"/>
    <w:rsid w:val="00C3423E"/>
    <w:rsid w:val="00C34D52"/>
    <w:rsid w:val="00C359D8"/>
    <w:rsid w:val="00C403C8"/>
    <w:rsid w:val="00C407BA"/>
    <w:rsid w:val="00C411B5"/>
    <w:rsid w:val="00C42577"/>
    <w:rsid w:val="00C42EE4"/>
    <w:rsid w:val="00C4307F"/>
    <w:rsid w:val="00C456F7"/>
    <w:rsid w:val="00C458D6"/>
    <w:rsid w:val="00C45DC6"/>
    <w:rsid w:val="00C477AE"/>
    <w:rsid w:val="00C47BD5"/>
    <w:rsid w:val="00C5008B"/>
    <w:rsid w:val="00C5054A"/>
    <w:rsid w:val="00C50A4E"/>
    <w:rsid w:val="00C51C65"/>
    <w:rsid w:val="00C5276F"/>
    <w:rsid w:val="00C5330A"/>
    <w:rsid w:val="00C551D3"/>
    <w:rsid w:val="00C55E21"/>
    <w:rsid w:val="00C56052"/>
    <w:rsid w:val="00C561E3"/>
    <w:rsid w:val="00C56DC7"/>
    <w:rsid w:val="00C603DA"/>
    <w:rsid w:val="00C614F4"/>
    <w:rsid w:val="00C61CAE"/>
    <w:rsid w:val="00C62DFB"/>
    <w:rsid w:val="00C661E4"/>
    <w:rsid w:val="00C66548"/>
    <w:rsid w:val="00C66995"/>
    <w:rsid w:val="00C703A6"/>
    <w:rsid w:val="00C703C0"/>
    <w:rsid w:val="00C728D0"/>
    <w:rsid w:val="00C72938"/>
    <w:rsid w:val="00C73D79"/>
    <w:rsid w:val="00C7457D"/>
    <w:rsid w:val="00C74BF2"/>
    <w:rsid w:val="00C74D51"/>
    <w:rsid w:val="00C75DF4"/>
    <w:rsid w:val="00C804CF"/>
    <w:rsid w:val="00C833D5"/>
    <w:rsid w:val="00C83BDC"/>
    <w:rsid w:val="00C840C7"/>
    <w:rsid w:val="00C87E50"/>
    <w:rsid w:val="00C90218"/>
    <w:rsid w:val="00C908E4"/>
    <w:rsid w:val="00C908F2"/>
    <w:rsid w:val="00C90D0A"/>
    <w:rsid w:val="00C90E2B"/>
    <w:rsid w:val="00C91633"/>
    <w:rsid w:val="00C91694"/>
    <w:rsid w:val="00C91D55"/>
    <w:rsid w:val="00C93317"/>
    <w:rsid w:val="00C9433B"/>
    <w:rsid w:val="00C946B5"/>
    <w:rsid w:val="00C974EB"/>
    <w:rsid w:val="00CA03B4"/>
    <w:rsid w:val="00CA07DD"/>
    <w:rsid w:val="00CA1622"/>
    <w:rsid w:val="00CA2110"/>
    <w:rsid w:val="00CA234C"/>
    <w:rsid w:val="00CA252C"/>
    <w:rsid w:val="00CA2DC4"/>
    <w:rsid w:val="00CA318C"/>
    <w:rsid w:val="00CA33EA"/>
    <w:rsid w:val="00CA37A1"/>
    <w:rsid w:val="00CA3C0C"/>
    <w:rsid w:val="00CA509B"/>
    <w:rsid w:val="00CA64B5"/>
    <w:rsid w:val="00CB0618"/>
    <w:rsid w:val="00CB0BAA"/>
    <w:rsid w:val="00CB1299"/>
    <w:rsid w:val="00CB2BD0"/>
    <w:rsid w:val="00CB4730"/>
    <w:rsid w:val="00CB50D2"/>
    <w:rsid w:val="00CC1075"/>
    <w:rsid w:val="00CC204A"/>
    <w:rsid w:val="00CC2A74"/>
    <w:rsid w:val="00CC3B63"/>
    <w:rsid w:val="00CC40F1"/>
    <w:rsid w:val="00CC4238"/>
    <w:rsid w:val="00CC5888"/>
    <w:rsid w:val="00CC6A11"/>
    <w:rsid w:val="00CC6D5B"/>
    <w:rsid w:val="00CD0642"/>
    <w:rsid w:val="00CD072E"/>
    <w:rsid w:val="00CD19B0"/>
    <w:rsid w:val="00CD292D"/>
    <w:rsid w:val="00CD2D45"/>
    <w:rsid w:val="00CD2D86"/>
    <w:rsid w:val="00CD2DBC"/>
    <w:rsid w:val="00CD321C"/>
    <w:rsid w:val="00CD324D"/>
    <w:rsid w:val="00CD46F4"/>
    <w:rsid w:val="00CD5EEF"/>
    <w:rsid w:val="00CD5FE9"/>
    <w:rsid w:val="00CD67C3"/>
    <w:rsid w:val="00CE02A3"/>
    <w:rsid w:val="00CE12B4"/>
    <w:rsid w:val="00CE30B0"/>
    <w:rsid w:val="00CE4E44"/>
    <w:rsid w:val="00CE50D5"/>
    <w:rsid w:val="00CE62BC"/>
    <w:rsid w:val="00CE632D"/>
    <w:rsid w:val="00CE6F98"/>
    <w:rsid w:val="00CE70E5"/>
    <w:rsid w:val="00CE74E8"/>
    <w:rsid w:val="00CE7FF4"/>
    <w:rsid w:val="00CF029C"/>
    <w:rsid w:val="00CF0708"/>
    <w:rsid w:val="00CF0CCA"/>
    <w:rsid w:val="00CF0DBB"/>
    <w:rsid w:val="00CF105C"/>
    <w:rsid w:val="00CF2540"/>
    <w:rsid w:val="00CF3903"/>
    <w:rsid w:val="00CF4C05"/>
    <w:rsid w:val="00CF50E4"/>
    <w:rsid w:val="00CF533B"/>
    <w:rsid w:val="00CF53CF"/>
    <w:rsid w:val="00CF55AC"/>
    <w:rsid w:val="00CF5636"/>
    <w:rsid w:val="00CF5904"/>
    <w:rsid w:val="00CF5A5E"/>
    <w:rsid w:val="00CF5FEA"/>
    <w:rsid w:val="00CF6FCF"/>
    <w:rsid w:val="00CF787B"/>
    <w:rsid w:val="00D001FB"/>
    <w:rsid w:val="00D00E9B"/>
    <w:rsid w:val="00D01FE9"/>
    <w:rsid w:val="00D0240E"/>
    <w:rsid w:val="00D02D57"/>
    <w:rsid w:val="00D02DFF"/>
    <w:rsid w:val="00D06571"/>
    <w:rsid w:val="00D06EDE"/>
    <w:rsid w:val="00D0726C"/>
    <w:rsid w:val="00D07575"/>
    <w:rsid w:val="00D07A0E"/>
    <w:rsid w:val="00D07BAA"/>
    <w:rsid w:val="00D107B9"/>
    <w:rsid w:val="00D11B47"/>
    <w:rsid w:val="00D11D8D"/>
    <w:rsid w:val="00D11D98"/>
    <w:rsid w:val="00D131BC"/>
    <w:rsid w:val="00D1336A"/>
    <w:rsid w:val="00D1352A"/>
    <w:rsid w:val="00D135AC"/>
    <w:rsid w:val="00D13CD4"/>
    <w:rsid w:val="00D144A5"/>
    <w:rsid w:val="00D1551F"/>
    <w:rsid w:val="00D157AF"/>
    <w:rsid w:val="00D15896"/>
    <w:rsid w:val="00D17211"/>
    <w:rsid w:val="00D174F4"/>
    <w:rsid w:val="00D20885"/>
    <w:rsid w:val="00D20A09"/>
    <w:rsid w:val="00D20E41"/>
    <w:rsid w:val="00D21CAD"/>
    <w:rsid w:val="00D22DD5"/>
    <w:rsid w:val="00D231D5"/>
    <w:rsid w:val="00D23B25"/>
    <w:rsid w:val="00D241E9"/>
    <w:rsid w:val="00D24508"/>
    <w:rsid w:val="00D24C87"/>
    <w:rsid w:val="00D2567D"/>
    <w:rsid w:val="00D257CC"/>
    <w:rsid w:val="00D305E7"/>
    <w:rsid w:val="00D3082A"/>
    <w:rsid w:val="00D30FA4"/>
    <w:rsid w:val="00D32230"/>
    <w:rsid w:val="00D3401D"/>
    <w:rsid w:val="00D3462C"/>
    <w:rsid w:val="00D34A8B"/>
    <w:rsid w:val="00D36890"/>
    <w:rsid w:val="00D36F67"/>
    <w:rsid w:val="00D3737F"/>
    <w:rsid w:val="00D37740"/>
    <w:rsid w:val="00D419A2"/>
    <w:rsid w:val="00D41A6B"/>
    <w:rsid w:val="00D42003"/>
    <w:rsid w:val="00D43D15"/>
    <w:rsid w:val="00D4566F"/>
    <w:rsid w:val="00D45E24"/>
    <w:rsid w:val="00D46077"/>
    <w:rsid w:val="00D46AAA"/>
    <w:rsid w:val="00D46F63"/>
    <w:rsid w:val="00D47E56"/>
    <w:rsid w:val="00D47FD2"/>
    <w:rsid w:val="00D5029B"/>
    <w:rsid w:val="00D50B07"/>
    <w:rsid w:val="00D50DA2"/>
    <w:rsid w:val="00D50E38"/>
    <w:rsid w:val="00D523EF"/>
    <w:rsid w:val="00D5384E"/>
    <w:rsid w:val="00D53E6B"/>
    <w:rsid w:val="00D5401E"/>
    <w:rsid w:val="00D548D0"/>
    <w:rsid w:val="00D55010"/>
    <w:rsid w:val="00D56BFE"/>
    <w:rsid w:val="00D56DCC"/>
    <w:rsid w:val="00D60670"/>
    <w:rsid w:val="00D60FB2"/>
    <w:rsid w:val="00D61664"/>
    <w:rsid w:val="00D618F6"/>
    <w:rsid w:val="00D62267"/>
    <w:rsid w:val="00D642D2"/>
    <w:rsid w:val="00D6449A"/>
    <w:rsid w:val="00D6556C"/>
    <w:rsid w:val="00D659AB"/>
    <w:rsid w:val="00D66AE4"/>
    <w:rsid w:val="00D67D38"/>
    <w:rsid w:val="00D70349"/>
    <w:rsid w:val="00D71449"/>
    <w:rsid w:val="00D71571"/>
    <w:rsid w:val="00D72398"/>
    <w:rsid w:val="00D72421"/>
    <w:rsid w:val="00D72AF2"/>
    <w:rsid w:val="00D73136"/>
    <w:rsid w:val="00D73937"/>
    <w:rsid w:val="00D742A8"/>
    <w:rsid w:val="00D74404"/>
    <w:rsid w:val="00D764BD"/>
    <w:rsid w:val="00D76D0F"/>
    <w:rsid w:val="00D7713F"/>
    <w:rsid w:val="00D80E9A"/>
    <w:rsid w:val="00D81445"/>
    <w:rsid w:val="00D82249"/>
    <w:rsid w:val="00D83A8F"/>
    <w:rsid w:val="00D83D9E"/>
    <w:rsid w:val="00D84C48"/>
    <w:rsid w:val="00D85F39"/>
    <w:rsid w:val="00D863C5"/>
    <w:rsid w:val="00D907BC"/>
    <w:rsid w:val="00D94091"/>
    <w:rsid w:val="00D94956"/>
    <w:rsid w:val="00D94EA5"/>
    <w:rsid w:val="00D966D6"/>
    <w:rsid w:val="00D96E99"/>
    <w:rsid w:val="00D9716B"/>
    <w:rsid w:val="00DA00DE"/>
    <w:rsid w:val="00DA1E7D"/>
    <w:rsid w:val="00DA1F95"/>
    <w:rsid w:val="00DA2400"/>
    <w:rsid w:val="00DA3BC9"/>
    <w:rsid w:val="00DA550C"/>
    <w:rsid w:val="00DA5FAF"/>
    <w:rsid w:val="00DA74D8"/>
    <w:rsid w:val="00DA7BDE"/>
    <w:rsid w:val="00DB0618"/>
    <w:rsid w:val="00DB0E55"/>
    <w:rsid w:val="00DB12D0"/>
    <w:rsid w:val="00DB16AF"/>
    <w:rsid w:val="00DB33C0"/>
    <w:rsid w:val="00DB3902"/>
    <w:rsid w:val="00DB4343"/>
    <w:rsid w:val="00DB4A47"/>
    <w:rsid w:val="00DB5A3A"/>
    <w:rsid w:val="00DB60F0"/>
    <w:rsid w:val="00DB74D5"/>
    <w:rsid w:val="00DC0085"/>
    <w:rsid w:val="00DC06F2"/>
    <w:rsid w:val="00DC0808"/>
    <w:rsid w:val="00DC2C30"/>
    <w:rsid w:val="00DC2C51"/>
    <w:rsid w:val="00DC2DD9"/>
    <w:rsid w:val="00DC4248"/>
    <w:rsid w:val="00DC43BA"/>
    <w:rsid w:val="00DC4CC7"/>
    <w:rsid w:val="00DC584D"/>
    <w:rsid w:val="00DC5AB2"/>
    <w:rsid w:val="00DC5E61"/>
    <w:rsid w:val="00DC7D9E"/>
    <w:rsid w:val="00DD04A4"/>
    <w:rsid w:val="00DD0E52"/>
    <w:rsid w:val="00DD124A"/>
    <w:rsid w:val="00DD17C7"/>
    <w:rsid w:val="00DD1875"/>
    <w:rsid w:val="00DD223D"/>
    <w:rsid w:val="00DD23CE"/>
    <w:rsid w:val="00DD2748"/>
    <w:rsid w:val="00DD3A43"/>
    <w:rsid w:val="00DD3C9D"/>
    <w:rsid w:val="00DD3D36"/>
    <w:rsid w:val="00DD3DC0"/>
    <w:rsid w:val="00DD4181"/>
    <w:rsid w:val="00DD5D46"/>
    <w:rsid w:val="00DD7296"/>
    <w:rsid w:val="00DD7654"/>
    <w:rsid w:val="00DD7A68"/>
    <w:rsid w:val="00DE0590"/>
    <w:rsid w:val="00DE0ED6"/>
    <w:rsid w:val="00DE1D0B"/>
    <w:rsid w:val="00DE5D3C"/>
    <w:rsid w:val="00DE727E"/>
    <w:rsid w:val="00DE7904"/>
    <w:rsid w:val="00DF0227"/>
    <w:rsid w:val="00DF037A"/>
    <w:rsid w:val="00DF063C"/>
    <w:rsid w:val="00DF0CE0"/>
    <w:rsid w:val="00DF14DF"/>
    <w:rsid w:val="00DF1924"/>
    <w:rsid w:val="00DF2331"/>
    <w:rsid w:val="00DF3950"/>
    <w:rsid w:val="00DF53D7"/>
    <w:rsid w:val="00DF56B1"/>
    <w:rsid w:val="00DF5BB4"/>
    <w:rsid w:val="00DF7906"/>
    <w:rsid w:val="00DF7B7D"/>
    <w:rsid w:val="00E0008D"/>
    <w:rsid w:val="00E0029B"/>
    <w:rsid w:val="00E004BD"/>
    <w:rsid w:val="00E00AB6"/>
    <w:rsid w:val="00E00CF3"/>
    <w:rsid w:val="00E00E24"/>
    <w:rsid w:val="00E01F35"/>
    <w:rsid w:val="00E02831"/>
    <w:rsid w:val="00E03363"/>
    <w:rsid w:val="00E0337C"/>
    <w:rsid w:val="00E046F3"/>
    <w:rsid w:val="00E05B53"/>
    <w:rsid w:val="00E062E7"/>
    <w:rsid w:val="00E06DDF"/>
    <w:rsid w:val="00E07720"/>
    <w:rsid w:val="00E10A95"/>
    <w:rsid w:val="00E118A7"/>
    <w:rsid w:val="00E128AB"/>
    <w:rsid w:val="00E12961"/>
    <w:rsid w:val="00E12A8A"/>
    <w:rsid w:val="00E13303"/>
    <w:rsid w:val="00E13D13"/>
    <w:rsid w:val="00E13F67"/>
    <w:rsid w:val="00E14996"/>
    <w:rsid w:val="00E14D91"/>
    <w:rsid w:val="00E15420"/>
    <w:rsid w:val="00E15B16"/>
    <w:rsid w:val="00E16C32"/>
    <w:rsid w:val="00E17033"/>
    <w:rsid w:val="00E17743"/>
    <w:rsid w:val="00E17E57"/>
    <w:rsid w:val="00E17FCC"/>
    <w:rsid w:val="00E20BDD"/>
    <w:rsid w:val="00E20D9D"/>
    <w:rsid w:val="00E216D7"/>
    <w:rsid w:val="00E25442"/>
    <w:rsid w:val="00E25931"/>
    <w:rsid w:val="00E26CBB"/>
    <w:rsid w:val="00E307F1"/>
    <w:rsid w:val="00E308D7"/>
    <w:rsid w:val="00E30A1E"/>
    <w:rsid w:val="00E32094"/>
    <w:rsid w:val="00E32C2D"/>
    <w:rsid w:val="00E3330D"/>
    <w:rsid w:val="00E33377"/>
    <w:rsid w:val="00E3387D"/>
    <w:rsid w:val="00E34F51"/>
    <w:rsid w:val="00E35AA3"/>
    <w:rsid w:val="00E37C8C"/>
    <w:rsid w:val="00E405A7"/>
    <w:rsid w:val="00E407DC"/>
    <w:rsid w:val="00E40F3E"/>
    <w:rsid w:val="00E41AC3"/>
    <w:rsid w:val="00E41B36"/>
    <w:rsid w:val="00E43F08"/>
    <w:rsid w:val="00E4484F"/>
    <w:rsid w:val="00E44A13"/>
    <w:rsid w:val="00E46252"/>
    <w:rsid w:val="00E46312"/>
    <w:rsid w:val="00E51318"/>
    <w:rsid w:val="00E5147A"/>
    <w:rsid w:val="00E52EBD"/>
    <w:rsid w:val="00E53FC9"/>
    <w:rsid w:val="00E54E0B"/>
    <w:rsid w:val="00E55B6E"/>
    <w:rsid w:val="00E5774B"/>
    <w:rsid w:val="00E61091"/>
    <w:rsid w:val="00E61882"/>
    <w:rsid w:val="00E61990"/>
    <w:rsid w:val="00E623DB"/>
    <w:rsid w:val="00E62527"/>
    <w:rsid w:val="00E62E10"/>
    <w:rsid w:val="00E643C3"/>
    <w:rsid w:val="00E650C0"/>
    <w:rsid w:val="00E6590C"/>
    <w:rsid w:val="00E65AEA"/>
    <w:rsid w:val="00E65B5F"/>
    <w:rsid w:val="00E67F87"/>
    <w:rsid w:val="00E7182E"/>
    <w:rsid w:val="00E7192D"/>
    <w:rsid w:val="00E71A0B"/>
    <w:rsid w:val="00E71C11"/>
    <w:rsid w:val="00E72264"/>
    <w:rsid w:val="00E7322A"/>
    <w:rsid w:val="00E74902"/>
    <w:rsid w:val="00E74E1E"/>
    <w:rsid w:val="00E75819"/>
    <w:rsid w:val="00E75B6E"/>
    <w:rsid w:val="00E75F9F"/>
    <w:rsid w:val="00E76567"/>
    <w:rsid w:val="00E80BDC"/>
    <w:rsid w:val="00E82430"/>
    <w:rsid w:val="00E858B9"/>
    <w:rsid w:val="00E85DCD"/>
    <w:rsid w:val="00E8674A"/>
    <w:rsid w:val="00E8735C"/>
    <w:rsid w:val="00E923A9"/>
    <w:rsid w:val="00E9240E"/>
    <w:rsid w:val="00E94E09"/>
    <w:rsid w:val="00E958AD"/>
    <w:rsid w:val="00E95D1D"/>
    <w:rsid w:val="00E95E78"/>
    <w:rsid w:val="00E960B0"/>
    <w:rsid w:val="00EA08B1"/>
    <w:rsid w:val="00EA14DA"/>
    <w:rsid w:val="00EA1CDC"/>
    <w:rsid w:val="00EA28FB"/>
    <w:rsid w:val="00EA35A9"/>
    <w:rsid w:val="00EA3CF3"/>
    <w:rsid w:val="00EA5372"/>
    <w:rsid w:val="00EA53CE"/>
    <w:rsid w:val="00EA5DE3"/>
    <w:rsid w:val="00EA6953"/>
    <w:rsid w:val="00EA7FDC"/>
    <w:rsid w:val="00EB0982"/>
    <w:rsid w:val="00EB191B"/>
    <w:rsid w:val="00EB24DE"/>
    <w:rsid w:val="00EB264F"/>
    <w:rsid w:val="00EB31D5"/>
    <w:rsid w:val="00EB3639"/>
    <w:rsid w:val="00EB38B1"/>
    <w:rsid w:val="00EB42FD"/>
    <w:rsid w:val="00EB60D1"/>
    <w:rsid w:val="00EB6573"/>
    <w:rsid w:val="00EC0863"/>
    <w:rsid w:val="00EC26DD"/>
    <w:rsid w:val="00EC6A47"/>
    <w:rsid w:val="00EC6DDD"/>
    <w:rsid w:val="00EC7DDB"/>
    <w:rsid w:val="00ED0527"/>
    <w:rsid w:val="00ED1B5C"/>
    <w:rsid w:val="00ED2479"/>
    <w:rsid w:val="00ED289B"/>
    <w:rsid w:val="00ED296E"/>
    <w:rsid w:val="00ED31F6"/>
    <w:rsid w:val="00ED3490"/>
    <w:rsid w:val="00ED52F8"/>
    <w:rsid w:val="00ED5834"/>
    <w:rsid w:val="00ED5E3E"/>
    <w:rsid w:val="00ED6546"/>
    <w:rsid w:val="00EE00ED"/>
    <w:rsid w:val="00EE0283"/>
    <w:rsid w:val="00EE21C6"/>
    <w:rsid w:val="00EE2AE2"/>
    <w:rsid w:val="00EE3CBE"/>
    <w:rsid w:val="00EE418E"/>
    <w:rsid w:val="00EE5A96"/>
    <w:rsid w:val="00EE69BD"/>
    <w:rsid w:val="00EE6D81"/>
    <w:rsid w:val="00EF156D"/>
    <w:rsid w:val="00EF2ABA"/>
    <w:rsid w:val="00EF3306"/>
    <w:rsid w:val="00EF3879"/>
    <w:rsid w:val="00EF4856"/>
    <w:rsid w:val="00EF4DEF"/>
    <w:rsid w:val="00EF6AD7"/>
    <w:rsid w:val="00EF6C84"/>
    <w:rsid w:val="00EF7D80"/>
    <w:rsid w:val="00F00DD4"/>
    <w:rsid w:val="00F013EC"/>
    <w:rsid w:val="00F02ECF"/>
    <w:rsid w:val="00F02F11"/>
    <w:rsid w:val="00F04E55"/>
    <w:rsid w:val="00F050B2"/>
    <w:rsid w:val="00F05168"/>
    <w:rsid w:val="00F053D8"/>
    <w:rsid w:val="00F054E5"/>
    <w:rsid w:val="00F05628"/>
    <w:rsid w:val="00F065A6"/>
    <w:rsid w:val="00F06BE8"/>
    <w:rsid w:val="00F07FBF"/>
    <w:rsid w:val="00F10052"/>
    <w:rsid w:val="00F103F8"/>
    <w:rsid w:val="00F109E3"/>
    <w:rsid w:val="00F10B90"/>
    <w:rsid w:val="00F11F71"/>
    <w:rsid w:val="00F11FD5"/>
    <w:rsid w:val="00F122C7"/>
    <w:rsid w:val="00F122D7"/>
    <w:rsid w:val="00F1243C"/>
    <w:rsid w:val="00F124C8"/>
    <w:rsid w:val="00F12529"/>
    <w:rsid w:val="00F125AD"/>
    <w:rsid w:val="00F12A1C"/>
    <w:rsid w:val="00F134D5"/>
    <w:rsid w:val="00F13AB7"/>
    <w:rsid w:val="00F1492E"/>
    <w:rsid w:val="00F20603"/>
    <w:rsid w:val="00F20FA6"/>
    <w:rsid w:val="00F2209C"/>
    <w:rsid w:val="00F24133"/>
    <w:rsid w:val="00F24292"/>
    <w:rsid w:val="00F244C5"/>
    <w:rsid w:val="00F25566"/>
    <w:rsid w:val="00F2622E"/>
    <w:rsid w:val="00F27455"/>
    <w:rsid w:val="00F27B46"/>
    <w:rsid w:val="00F30007"/>
    <w:rsid w:val="00F30444"/>
    <w:rsid w:val="00F305AD"/>
    <w:rsid w:val="00F30AF3"/>
    <w:rsid w:val="00F318DD"/>
    <w:rsid w:val="00F325F0"/>
    <w:rsid w:val="00F32716"/>
    <w:rsid w:val="00F332B1"/>
    <w:rsid w:val="00F3368A"/>
    <w:rsid w:val="00F3466E"/>
    <w:rsid w:val="00F347D2"/>
    <w:rsid w:val="00F36709"/>
    <w:rsid w:val="00F369A3"/>
    <w:rsid w:val="00F36F98"/>
    <w:rsid w:val="00F377F4"/>
    <w:rsid w:val="00F409C9"/>
    <w:rsid w:val="00F40E9B"/>
    <w:rsid w:val="00F4127C"/>
    <w:rsid w:val="00F430B9"/>
    <w:rsid w:val="00F437B2"/>
    <w:rsid w:val="00F44373"/>
    <w:rsid w:val="00F4460B"/>
    <w:rsid w:val="00F45745"/>
    <w:rsid w:val="00F45C3C"/>
    <w:rsid w:val="00F4640C"/>
    <w:rsid w:val="00F46533"/>
    <w:rsid w:val="00F4760A"/>
    <w:rsid w:val="00F51C89"/>
    <w:rsid w:val="00F52EA2"/>
    <w:rsid w:val="00F547CD"/>
    <w:rsid w:val="00F54B34"/>
    <w:rsid w:val="00F55014"/>
    <w:rsid w:val="00F55308"/>
    <w:rsid w:val="00F56AE6"/>
    <w:rsid w:val="00F57B05"/>
    <w:rsid w:val="00F6270D"/>
    <w:rsid w:val="00F62E48"/>
    <w:rsid w:val="00F647E4"/>
    <w:rsid w:val="00F674AE"/>
    <w:rsid w:val="00F6776B"/>
    <w:rsid w:val="00F677F4"/>
    <w:rsid w:val="00F7025C"/>
    <w:rsid w:val="00F704DB"/>
    <w:rsid w:val="00F70BF1"/>
    <w:rsid w:val="00F71595"/>
    <w:rsid w:val="00F72964"/>
    <w:rsid w:val="00F72981"/>
    <w:rsid w:val="00F733EE"/>
    <w:rsid w:val="00F74894"/>
    <w:rsid w:val="00F754AE"/>
    <w:rsid w:val="00F755AF"/>
    <w:rsid w:val="00F75EB1"/>
    <w:rsid w:val="00F76171"/>
    <w:rsid w:val="00F76A9D"/>
    <w:rsid w:val="00F76C6E"/>
    <w:rsid w:val="00F77A80"/>
    <w:rsid w:val="00F77DB3"/>
    <w:rsid w:val="00F8010E"/>
    <w:rsid w:val="00F81049"/>
    <w:rsid w:val="00F836EE"/>
    <w:rsid w:val="00F839D3"/>
    <w:rsid w:val="00F8580B"/>
    <w:rsid w:val="00F8586C"/>
    <w:rsid w:val="00F85929"/>
    <w:rsid w:val="00F85EFA"/>
    <w:rsid w:val="00F861AF"/>
    <w:rsid w:val="00F86611"/>
    <w:rsid w:val="00F90109"/>
    <w:rsid w:val="00F9059A"/>
    <w:rsid w:val="00F906CD"/>
    <w:rsid w:val="00F90D0F"/>
    <w:rsid w:val="00F91FF7"/>
    <w:rsid w:val="00F93BC0"/>
    <w:rsid w:val="00F94690"/>
    <w:rsid w:val="00F949B4"/>
    <w:rsid w:val="00F95296"/>
    <w:rsid w:val="00F955AA"/>
    <w:rsid w:val="00F966CF"/>
    <w:rsid w:val="00F978BC"/>
    <w:rsid w:val="00F9795A"/>
    <w:rsid w:val="00FA0023"/>
    <w:rsid w:val="00FA0129"/>
    <w:rsid w:val="00FA0C3D"/>
    <w:rsid w:val="00FA0E42"/>
    <w:rsid w:val="00FA2202"/>
    <w:rsid w:val="00FA4525"/>
    <w:rsid w:val="00FA4C68"/>
    <w:rsid w:val="00FA6AC5"/>
    <w:rsid w:val="00FA6EBF"/>
    <w:rsid w:val="00FA7938"/>
    <w:rsid w:val="00FB03D5"/>
    <w:rsid w:val="00FB1078"/>
    <w:rsid w:val="00FB1D26"/>
    <w:rsid w:val="00FB2432"/>
    <w:rsid w:val="00FB3B98"/>
    <w:rsid w:val="00FB44ED"/>
    <w:rsid w:val="00FB58F8"/>
    <w:rsid w:val="00FB7138"/>
    <w:rsid w:val="00FC0871"/>
    <w:rsid w:val="00FC21A9"/>
    <w:rsid w:val="00FC2EBD"/>
    <w:rsid w:val="00FC3B76"/>
    <w:rsid w:val="00FC74AA"/>
    <w:rsid w:val="00FC7A7B"/>
    <w:rsid w:val="00FD02A4"/>
    <w:rsid w:val="00FD12C4"/>
    <w:rsid w:val="00FD190A"/>
    <w:rsid w:val="00FD1D02"/>
    <w:rsid w:val="00FD3577"/>
    <w:rsid w:val="00FD3BD8"/>
    <w:rsid w:val="00FD3C55"/>
    <w:rsid w:val="00FD42D8"/>
    <w:rsid w:val="00FD4871"/>
    <w:rsid w:val="00FD56DC"/>
    <w:rsid w:val="00FE033B"/>
    <w:rsid w:val="00FE0A9C"/>
    <w:rsid w:val="00FE3294"/>
    <w:rsid w:val="00FE4813"/>
    <w:rsid w:val="00FE7974"/>
    <w:rsid w:val="00FE7E15"/>
    <w:rsid w:val="00FF24B8"/>
    <w:rsid w:val="00FF5658"/>
    <w:rsid w:val="00FF7270"/>
    <w:rsid w:val="00FF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1EDA1"/>
  <w15:docId w15:val="{B7DEC5EC-80F6-4519-9E2A-EECCD7BB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C6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82BEA"/>
    <w:pPr>
      <w:keepNext/>
      <w:numPr>
        <w:numId w:val="5"/>
      </w:numPr>
      <w:spacing w:before="360" w:after="120" w:line="240" w:lineRule="auto"/>
      <w:jc w:val="both"/>
      <w:outlineLvl w:val="0"/>
    </w:pPr>
    <w:rPr>
      <w:rFonts w:ascii="Times New Roman" w:hAnsi="Times New Roman"/>
      <w:b/>
      <w:bCs/>
      <w:smallCaps/>
      <w:sz w:val="24"/>
      <w:szCs w:val="28"/>
      <w:lang w:val="en-GB"/>
    </w:rPr>
  </w:style>
  <w:style w:type="paragraph" w:styleId="Heading2">
    <w:name w:val="heading 2"/>
    <w:basedOn w:val="Normal"/>
    <w:next w:val="Normal"/>
    <w:link w:val="Heading2Char"/>
    <w:uiPriority w:val="9"/>
    <w:qFormat/>
    <w:rsid w:val="00582BEA"/>
    <w:pPr>
      <w:keepNext/>
      <w:numPr>
        <w:ilvl w:val="1"/>
        <w:numId w:val="5"/>
      </w:numPr>
      <w:spacing w:before="120" w:after="120" w:line="240" w:lineRule="auto"/>
      <w:jc w:val="both"/>
      <w:outlineLvl w:val="1"/>
    </w:pPr>
    <w:rPr>
      <w:rFonts w:ascii="Times New Roman" w:hAnsi="Times New Roman"/>
      <w:b/>
      <w:bCs/>
      <w:sz w:val="24"/>
      <w:szCs w:val="26"/>
      <w:lang w:val="en-GB"/>
    </w:rPr>
  </w:style>
  <w:style w:type="paragraph" w:styleId="Heading3">
    <w:name w:val="heading 3"/>
    <w:basedOn w:val="Normal"/>
    <w:next w:val="Normal"/>
    <w:link w:val="Heading3Char"/>
    <w:uiPriority w:val="9"/>
    <w:qFormat/>
    <w:rsid w:val="00582BEA"/>
    <w:pPr>
      <w:keepNext/>
      <w:numPr>
        <w:ilvl w:val="2"/>
        <w:numId w:val="5"/>
      </w:numPr>
      <w:spacing w:before="120" w:after="120" w:line="240" w:lineRule="auto"/>
      <w:jc w:val="both"/>
      <w:outlineLvl w:val="2"/>
    </w:pPr>
    <w:rPr>
      <w:rFonts w:ascii="Times New Roman" w:hAnsi="Times New Roman"/>
      <w:bCs/>
      <w:i/>
      <w:sz w:val="24"/>
      <w:szCs w:val="20"/>
      <w:lang w:val="en-GB"/>
    </w:rPr>
  </w:style>
  <w:style w:type="paragraph" w:styleId="Heading4">
    <w:name w:val="heading 4"/>
    <w:basedOn w:val="Normal"/>
    <w:next w:val="Normal"/>
    <w:link w:val="Heading4Char"/>
    <w:uiPriority w:val="9"/>
    <w:qFormat/>
    <w:rsid w:val="00582BEA"/>
    <w:pPr>
      <w:keepNext/>
      <w:numPr>
        <w:ilvl w:val="3"/>
        <w:numId w:val="5"/>
      </w:numPr>
      <w:spacing w:before="120" w:after="120" w:line="240" w:lineRule="auto"/>
      <w:jc w:val="both"/>
      <w:outlineLvl w:val="3"/>
    </w:pPr>
    <w:rPr>
      <w:rFonts w:ascii="Times New Roman" w:hAnsi="Times New Roman"/>
      <w:bCs/>
      <w:i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4A0EC1"/>
    <w:pPr>
      <w:spacing w:before="100" w:beforeAutospacing="1" w:after="100" w:afterAutospacing="1" w:line="240" w:lineRule="auto"/>
    </w:pPr>
    <w:rPr>
      <w:rFonts w:ascii="Times New Roman" w:hAnsi="Times New Roman"/>
      <w:sz w:val="24"/>
      <w:szCs w:val="24"/>
    </w:rPr>
  </w:style>
  <w:style w:type="paragraph" w:customStyle="1" w:styleId="ti-grseq-1">
    <w:name w:val="ti-grseq-1"/>
    <w:basedOn w:val="Normal"/>
    <w:rsid w:val="004A0EC1"/>
    <w:pPr>
      <w:spacing w:before="100" w:beforeAutospacing="1" w:after="100" w:afterAutospacing="1" w:line="240" w:lineRule="auto"/>
    </w:pPr>
    <w:rPr>
      <w:rFonts w:ascii="Times New Roman" w:hAnsi="Times New Roman"/>
      <w:sz w:val="24"/>
      <w:szCs w:val="24"/>
    </w:rPr>
  </w:style>
  <w:style w:type="character" w:customStyle="1" w:styleId="bold">
    <w:name w:val="bold"/>
    <w:basedOn w:val="DefaultParagraphFont"/>
    <w:rsid w:val="004A0EC1"/>
  </w:style>
  <w:style w:type="paragraph" w:customStyle="1" w:styleId="tbl-txt">
    <w:name w:val="tbl-txt"/>
    <w:basedOn w:val="Normal"/>
    <w:rsid w:val="004A0EC1"/>
    <w:pPr>
      <w:spacing w:before="100" w:beforeAutospacing="1" w:after="100" w:afterAutospacing="1" w:line="240" w:lineRule="auto"/>
    </w:pPr>
    <w:rPr>
      <w:rFonts w:ascii="Times New Roman" w:hAnsi="Times New Roman"/>
      <w:sz w:val="24"/>
      <w:szCs w:val="24"/>
    </w:rPr>
  </w:style>
  <w:style w:type="character" w:customStyle="1" w:styleId="italic">
    <w:name w:val="italic"/>
    <w:basedOn w:val="DefaultParagraphFont"/>
    <w:rsid w:val="004A0EC1"/>
  </w:style>
  <w:style w:type="paragraph" w:customStyle="1" w:styleId="Normal1">
    <w:name w:val="Normal1"/>
    <w:basedOn w:val="Normal"/>
    <w:rsid w:val="004A0EC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4A0EC1"/>
  </w:style>
  <w:style w:type="character" w:styleId="Hyperlink">
    <w:name w:val="Hyperlink"/>
    <w:uiPriority w:val="99"/>
    <w:unhideWhenUsed/>
    <w:rsid w:val="004A0EC1"/>
    <w:rPr>
      <w:color w:val="0000FF"/>
      <w:u w:val="single"/>
    </w:rPr>
  </w:style>
  <w:style w:type="character" w:styleId="FollowedHyperlink">
    <w:name w:val="FollowedHyperlink"/>
    <w:uiPriority w:val="99"/>
    <w:semiHidden/>
    <w:unhideWhenUsed/>
    <w:rsid w:val="004A0EC1"/>
    <w:rPr>
      <w:color w:val="800080"/>
      <w:u w:val="single"/>
    </w:rPr>
  </w:style>
  <w:style w:type="character" w:customStyle="1" w:styleId="super">
    <w:name w:val="super"/>
    <w:basedOn w:val="DefaultParagraphFont"/>
    <w:rsid w:val="004A0EC1"/>
  </w:style>
  <w:style w:type="paragraph" w:customStyle="1" w:styleId="tbl-hdr">
    <w:name w:val="tbl-hdr"/>
    <w:basedOn w:val="Normal"/>
    <w:rsid w:val="004A0EC1"/>
    <w:pPr>
      <w:spacing w:before="100" w:beforeAutospacing="1" w:after="100" w:afterAutospacing="1" w:line="240" w:lineRule="auto"/>
    </w:pPr>
    <w:rPr>
      <w:rFonts w:ascii="Times New Roman" w:hAnsi="Times New Roman"/>
      <w:sz w:val="24"/>
      <w:szCs w:val="24"/>
    </w:rPr>
  </w:style>
  <w:style w:type="paragraph" w:customStyle="1" w:styleId="ti-tbl">
    <w:name w:val="ti-tbl"/>
    <w:basedOn w:val="Normal"/>
    <w:rsid w:val="004A0EC1"/>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4A0EC1"/>
    <w:pPr>
      <w:spacing w:before="100" w:beforeAutospacing="1" w:after="100" w:afterAutospacing="1" w:line="240" w:lineRule="auto"/>
    </w:pPr>
    <w:rPr>
      <w:rFonts w:ascii="Times New Roman" w:hAnsi="Times New Roman"/>
      <w:sz w:val="24"/>
      <w:szCs w:val="24"/>
    </w:rPr>
  </w:style>
  <w:style w:type="paragraph" w:customStyle="1" w:styleId="note">
    <w:name w:val="note"/>
    <w:basedOn w:val="Normal"/>
    <w:rsid w:val="004A0EC1"/>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7E04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nualHeading1">
    <w:name w:val="Manual Heading 1"/>
    <w:basedOn w:val="Normal"/>
    <w:next w:val="Normal"/>
    <w:rsid w:val="006C01C7"/>
    <w:pPr>
      <w:keepNext/>
      <w:tabs>
        <w:tab w:val="left" w:pos="850"/>
      </w:tabs>
      <w:spacing w:before="360" w:after="120" w:line="240" w:lineRule="auto"/>
      <w:ind w:left="850" w:hanging="850"/>
      <w:jc w:val="both"/>
      <w:outlineLvl w:val="0"/>
    </w:pPr>
    <w:rPr>
      <w:rFonts w:ascii="Times New Roman" w:eastAsia="Calibri" w:hAnsi="Times New Roman"/>
      <w:b/>
      <w:smallCaps/>
      <w:sz w:val="24"/>
      <w:szCs w:val="20"/>
      <w:lang w:val="el-GR" w:eastAsia="el-GR" w:bidi="el-GR"/>
    </w:rPr>
  </w:style>
  <w:style w:type="paragraph" w:styleId="NoSpacing">
    <w:name w:val="No Spacing"/>
    <w:link w:val="NoSpacingChar"/>
    <w:qFormat/>
    <w:rsid w:val="006C01C7"/>
    <w:rPr>
      <w:sz w:val="22"/>
      <w:szCs w:val="22"/>
      <w:lang w:val="en-US" w:eastAsia="en-US"/>
    </w:rPr>
  </w:style>
  <w:style w:type="character" w:customStyle="1" w:styleId="NoSpacingChar">
    <w:name w:val="No Spacing Char"/>
    <w:link w:val="NoSpacing"/>
    <w:locked/>
    <w:rsid w:val="006C01C7"/>
    <w:rPr>
      <w:sz w:val="22"/>
      <w:szCs w:val="22"/>
      <w:lang w:val="en-US" w:eastAsia="en-US" w:bidi="ar-SA"/>
    </w:rPr>
  </w:style>
  <w:style w:type="character" w:customStyle="1" w:styleId="Heading1Char">
    <w:name w:val="Heading 1 Char"/>
    <w:link w:val="Heading1"/>
    <w:uiPriority w:val="9"/>
    <w:rsid w:val="00582BEA"/>
    <w:rPr>
      <w:rFonts w:ascii="Times New Roman" w:hAnsi="Times New Roman"/>
      <w:b/>
      <w:bCs/>
      <w:smallCaps/>
      <w:sz w:val="24"/>
      <w:szCs w:val="28"/>
      <w:lang w:eastAsia="en-US"/>
    </w:rPr>
  </w:style>
  <w:style w:type="character" w:customStyle="1" w:styleId="Heading2Char">
    <w:name w:val="Heading 2 Char"/>
    <w:link w:val="Heading2"/>
    <w:uiPriority w:val="9"/>
    <w:rsid w:val="00582BEA"/>
    <w:rPr>
      <w:rFonts w:ascii="Times New Roman" w:hAnsi="Times New Roman"/>
      <w:b/>
      <w:bCs/>
      <w:sz w:val="24"/>
      <w:szCs w:val="26"/>
      <w:lang w:eastAsia="en-US"/>
    </w:rPr>
  </w:style>
  <w:style w:type="character" w:customStyle="1" w:styleId="Heading3Char">
    <w:name w:val="Heading 3 Char"/>
    <w:link w:val="Heading3"/>
    <w:uiPriority w:val="9"/>
    <w:rsid w:val="00582BEA"/>
    <w:rPr>
      <w:rFonts w:ascii="Times New Roman" w:hAnsi="Times New Roman"/>
      <w:bCs/>
      <w:i/>
      <w:sz w:val="24"/>
      <w:lang w:eastAsia="en-US"/>
    </w:rPr>
  </w:style>
  <w:style w:type="character" w:customStyle="1" w:styleId="Heading4Char">
    <w:name w:val="Heading 4 Char"/>
    <w:link w:val="Heading4"/>
    <w:uiPriority w:val="9"/>
    <w:rsid w:val="00582BEA"/>
    <w:rPr>
      <w:rFonts w:ascii="Times New Roman" w:hAnsi="Times New Roman"/>
      <w:bCs/>
      <w:iCs/>
      <w:sz w:val="24"/>
      <w:lang w:eastAsia="en-US"/>
    </w:rPr>
  </w:style>
  <w:style w:type="paragraph" w:styleId="ListBullet">
    <w:name w:val="List Bullet"/>
    <w:basedOn w:val="Normal"/>
    <w:unhideWhenUsed/>
    <w:rsid w:val="00582BEA"/>
    <w:pPr>
      <w:numPr>
        <w:numId w:val="1"/>
      </w:numPr>
      <w:spacing w:before="120" w:after="120" w:line="240" w:lineRule="auto"/>
      <w:contextualSpacing/>
      <w:jc w:val="both"/>
    </w:pPr>
    <w:rPr>
      <w:rFonts w:ascii="Times New Roman" w:eastAsia="Calibri" w:hAnsi="Times New Roman"/>
      <w:sz w:val="24"/>
      <w:szCs w:val="20"/>
      <w:lang w:val="el-GR" w:eastAsia="el-GR" w:bidi="el-GR"/>
    </w:rPr>
  </w:style>
  <w:style w:type="paragraph" w:customStyle="1" w:styleId="Text1">
    <w:name w:val="Text 1"/>
    <w:basedOn w:val="Normal"/>
    <w:link w:val="Text1Char"/>
    <w:rsid w:val="00ED3490"/>
    <w:pPr>
      <w:spacing w:before="120" w:after="120" w:line="240" w:lineRule="auto"/>
      <w:ind w:left="850"/>
      <w:jc w:val="both"/>
    </w:pPr>
    <w:rPr>
      <w:rFonts w:ascii="Times New Roman" w:eastAsia="Calibri" w:hAnsi="Times New Roman"/>
      <w:sz w:val="24"/>
      <w:szCs w:val="20"/>
      <w:lang w:eastAsia="el-GR"/>
    </w:rPr>
  </w:style>
  <w:style w:type="character" w:customStyle="1" w:styleId="Text1Char">
    <w:name w:val="Text 1 Char"/>
    <w:link w:val="Text1"/>
    <w:locked/>
    <w:rsid w:val="00ED3490"/>
    <w:rPr>
      <w:rFonts w:ascii="Times New Roman" w:eastAsia="Calibri" w:hAnsi="Times New Roman" w:cs="Times New Roman"/>
      <w:sz w:val="24"/>
      <w:lang w:eastAsia="el-GR"/>
    </w:rPr>
  </w:style>
  <w:style w:type="paragraph" w:customStyle="1" w:styleId="ListDash">
    <w:name w:val="List Dash"/>
    <w:basedOn w:val="Normal"/>
    <w:link w:val="ListDashChar"/>
    <w:rsid w:val="00ED3490"/>
    <w:pPr>
      <w:numPr>
        <w:numId w:val="2"/>
      </w:numPr>
      <w:spacing w:after="240" w:line="240" w:lineRule="auto"/>
      <w:jc w:val="both"/>
    </w:pPr>
    <w:rPr>
      <w:rFonts w:ascii="Times New Roman" w:hAnsi="Times New Roman"/>
      <w:sz w:val="24"/>
      <w:szCs w:val="20"/>
      <w:lang w:bidi="el-GR"/>
    </w:rPr>
  </w:style>
  <w:style w:type="character" w:customStyle="1" w:styleId="ListDashChar">
    <w:name w:val="List Dash Char"/>
    <w:link w:val="ListDash"/>
    <w:rsid w:val="00ED3490"/>
    <w:rPr>
      <w:rFonts w:ascii="Times New Roman" w:hAnsi="Times New Roman"/>
      <w:sz w:val="24"/>
      <w:lang w:val="en-US" w:eastAsia="en-US" w:bidi="el-GR"/>
    </w:rPr>
  </w:style>
  <w:style w:type="character" w:styleId="FootnoteReference">
    <w:name w:val="footnote reference"/>
    <w:aliases w:val="Footnote symbol,ftref,Footnotes refss,Fussnota,Footnote reference number,Times 10 Point,Exposant 3 Point,EN Footnote Reference,note TESI,Footnote Reference Superscript, Zchn Zchn,Footnote number,Footnote Reference Number, BVI fnr"/>
    <w:unhideWhenUsed/>
    <w:rsid w:val="00717961"/>
    <w:rPr>
      <w:shd w:val="clear" w:color="auto" w:fill="auto"/>
      <w:vertAlign w:val="superscript"/>
    </w:rPr>
  </w:style>
  <w:style w:type="paragraph" w:styleId="FootnoteText">
    <w:name w:val="footnote text"/>
    <w:aliases w:val="Point 3 Char,Char Char Char,Κείμενο υποσημείωσης-KATERINA,Footnote text,ESPON Footnote Text,Schriftart: 9 pt,Schriftart: 10 pt,Schriftart: 8 pt,Κείμενο υποσημείωσης Char"/>
    <w:basedOn w:val="Normal"/>
    <w:link w:val="FootnoteTextChar"/>
    <w:semiHidden/>
    <w:unhideWhenUsed/>
    <w:rsid w:val="00BD5DA4"/>
    <w:pPr>
      <w:spacing w:after="0" w:line="240" w:lineRule="auto"/>
      <w:ind w:left="720" w:hanging="720"/>
      <w:jc w:val="both"/>
    </w:pPr>
    <w:rPr>
      <w:rFonts w:ascii="Times New Roman" w:eastAsia="Calibri" w:hAnsi="Times New Roman"/>
      <w:sz w:val="20"/>
      <w:szCs w:val="20"/>
      <w:lang w:val="en-GB"/>
    </w:rPr>
  </w:style>
  <w:style w:type="character" w:customStyle="1" w:styleId="FootnoteTextChar">
    <w:name w:val="Footnote Text Char"/>
    <w:aliases w:val="Point 3 Char Char,Char Char Char Char,Κείμενο υποσημείωσης-KATERINA Char,Footnote text Char,ESPON Footnote Text Char,Schriftart: 9 pt Char,Schriftart: 10 pt Char,Schriftart: 8 pt Char,Κείμενο υποσημείωσης Char Char"/>
    <w:link w:val="FootnoteText"/>
    <w:semiHidden/>
    <w:rsid w:val="00BD5DA4"/>
    <w:rPr>
      <w:rFonts w:ascii="Times New Roman" w:eastAsia="Calibri" w:hAnsi="Times New Roman" w:cs="Times New Roman"/>
      <w:sz w:val="20"/>
      <w:szCs w:val="20"/>
      <w:lang w:val="en-GB"/>
    </w:rPr>
  </w:style>
  <w:style w:type="paragraph" w:styleId="Header">
    <w:name w:val="header"/>
    <w:aliases w:val="hd,Headertext,Header Titlos Prosforas,Titlos Prosforas,hd1,Header Titlos Prosforas1,hd2,Header Titlos Prosforas2,hd3,Header Titlos Prosforas3,hd4,Header Titlos Prosforas4,hd11,Header Titlos Prosforas11,hd21,Header Titlos Prosforas21,hd31,hd5,ho"/>
    <w:basedOn w:val="Normal"/>
    <w:link w:val="HeaderChar"/>
    <w:uiPriority w:val="99"/>
    <w:unhideWhenUsed/>
    <w:rsid w:val="005A5556"/>
    <w:pPr>
      <w:tabs>
        <w:tab w:val="center" w:pos="4680"/>
        <w:tab w:val="right" w:pos="9360"/>
      </w:tabs>
      <w:spacing w:after="0" w:line="240" w:lineRule="auto"/>
    </w:pPr>
  </w:style>
  <w:style w:type="character" w:customStyle="1" w:styleId="HeaderChar">
    <w:name w:val="Header Char"/>
    <w:aliases w:val="hd Char,Headertext Char,Header Titlos Prosforas Char,Titlos Prosforas Char,hd1 Char,Header Titlos Prosforas1 Char,hd2 Char,Header Titlos Prosforas2 Char,hd3 Char,Header Titlos Prosforas3 Char,hd4 Char,Header Titlos Prosforas4 Char,hd11 Char"/>
    <w:basedOn w:val="DefaultParagraphFont"/>
    <w:link w:val="Header"/>
    <w:uiPriority w:val="99"/>
    <w:rsid w:val="005A5556"/>
  </w:style>
  <w:style w:type="paragraph" w:styleId="Footer">
    <w:name w:val="footer"/>
    <w:aliases w:val="ft,fo,Fakelos_Enotita_Sel,Footer1,f1"/>
    <w:basedOn w:val="Normal"/>
    <w:link w:val="FooterChar"/>
    <w:unhideWhenUsed/>
    <w:rsid w:val="005A5556"/>
    <w:pPr>
      <w:tabs>
        <w:tab w:val="center" w:pos="4680"/>
        <w:tab w:val="right" w:pos="9360"/>
      </w:tabs>
      <w:spacing w:after="0" w:line="240" w:lineRule="auto"/>
    </w:pPr>
  </w:style>
  <w:style w:type="character" w:customStyle="1" w:styleId="FooterChar">
    <w:name w:val="Footer Char"/>
    <w:aliases w:val="ft Char,fo Char,Fakelos_Enotita_Sel Char,Footer1 Char,f1 Char"/>
    <w:basedOn w:val="DefaultParagraphFont"/>
    <w:link w:val="Footer"/>
    <w:rsid w:val="005A5556"/>
  </w:style>
  <w:style w:type="paragraph" w:styleId="ListParagraph">
    <w:name w:val="List Paragraph"/>
    <w:basedOn w:val="Normal"/>
    <w:link w:val="ListParagraphChar"/>
    <w:uiPriority w:val="34"/>
    <w:qFormat/>
    <w:rsid w:val="006A73CE"/>
    <w:pPr>
      <w:ind w:left="720"/>
      <w:contextualSpacing/>
    </w:pPr>
  </w:style>
  <w:style w:type="paragraph" w:styleId="TOCHeading">
    <w:name w:val="TOC Heading"/>
    <w:basedOn w:val="Heading1"/>
    <w:next w:val="Normal"/>
    <w:uiPriority w:val="39"/>
    <w:unhideWhenUsed/>
    <w:qFormat/>
    <w:rsid w:val="009D0FC1"/>
    <w:pPr>
      <w:keepLines/>
      <w:numPr>
        <w:numId w:val="0"/>
      </w:numPr>
      <w:spacing w:before="480" w:after="0" w:line="276" w:lineRule="auto"/>
      <w:jc w:val="left"/>
      <w:outlineLvl w:val="9"/>
    </w:pPr>
    <w:rPr>
      <w:rFonts w:ascii="Cambria" w:hAnsi="Cambria"/>
      <w:smallCaps w:val="0"/>
      <w:color w:val="365F91"/>
      <w:sz w:val="28"/>
      <w:lang w:val="en-US"/>
    </w:rPr>
  </w:style>
  <w:style w:type="paragraph" w:styleId="TOC1">
    <w:name w:val="toc 1"/>
    <w:basedOn w:val="Normal"/>
    <w:next w:val="Normal"/>
    <w:autoRedefine/>
    <w:uiPriority w:val="39"/>
    <w:unhideWhenUsed/>
    <w:rsid w:val="00FB03D5"/>
    <w:pPr>
      <w:tabs>
        <w:tab w:val="right" w:leader="dot" w:pos="10070"/>
      </w:tabs>
      <w:spacing w:after="100"/>
      <w:ind w:left="426" w:hanging="426"/>
      <w:jc w:val="both"/>
    </w:pPr>
    <w:rPr>
      <w:rFonts w:cs="Calibri"/>
      <w:noProof/>
      <w:lang w:val="el-GR"/>
    </w:rPr>
  </w:style>
  <w:style w:type="paragraph" w:styleId="TOC2">
    <w:name w:val="toc 2"/>
    <w:basedOn w:val="Normal"/>
    <w:next w:val="Normal"/>
    <w:autoRedefine/>
    <w:uiPriority w:val="39"/>
    <w:unhideWhenUsed/>
    <w:rsid w:val="009F446E"/>
    <w:pPr>
      <w:tabs>
        <w:tab w:val="left" w:pos="1100"/>
        <w:tab w:val="right" w:leader="dot" w:pos="10070"/>
      </w:tabs>
      <w:spacing w:after="100"/>
      <w:ind w:left="993" w:hanging="567"/>
    </w:pPr>
  </w:style>
  <w:style w:type="paragraph" w:styleId="TOC3">
    <w:name w:val="toc 3"/>
    <w:basedOn w:val="Normal"/>
    <w:next w:val="Normal"/>
    <w:autoRedefine/>
    <w:uiPriority w:val="39"/>
    <w:unhideWhenUsed/>
    <w:rsid w:val="009D0FC1"/>
    <w:pPr>
      <w:spacing w:after="100"/>
      <w:ind w:left="440"/>
    </w:pPr>
  </w:style>
  <w:style w:type="paragraph" w:styleId="BalloonText">
    <w:name w:val="Balloon Text"/>
    <w:basedOn w:val="Normal"/>
    <w:link w:val="BalloonTextChar"/>
    <w:uiPriority w:val="99"/>
    <w:semiHidden/>
    <w:unhideWhenUsed/>
    <w:rsid w:val="009D0F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0FC1"/>
    <w:rPr>
      <w:rFonts w:ascii="Tahoma" w:hAnsi="Tahoma" w:cs="Tahoma"/>
      <w:sz w:val="16"/>
      <w:szCs w:val="16"/>
    </w:rPr>
  </w:style>
  <w:style w:type="paragraph" w:styleId="Caption">
    <w:name w:val="caption"/>
    <w:aliases w:val="TF,Epígrafe,cap,Caption Char Char,Caption Char1,Caption Char Char1,Caption Char Char Char Char,Caption1 Char,Caption Char Char Char Char1,Caption Char Char Char1,Caption Char Char Char,Caption1"/>
    <w:basedOn w:val="Normal"/>
    <w:next w:val="Normal"/>
    <w:link w:val="CaptionChar"/>
    <w:qFormat/>
    <w:rsid w:val="00E40F3E"/>
    <w:pPr>
      <w:spacing w:before="120" w:after="120" w:line="300" w:lineRule="exact"/>
      <w:jc w:val="both"/>
    </w:pPr>
    <w:rPr>
      <w:rFonts w:ascii="Tahoma" w:hAnsi="Tahoma"/>
      <w:b/>
      <w:bCs/>
      <w:sz w:val="20"/>
      <w:szCs w:val="20"/>
      <w:lang w:val="el-GR" w:eastAsia="el-GR"/>
    </w:rPr>
  </w:style>
  <w:style w:type="character" w:customStyle="1" w:styleId="CaptionChar">
    <w:name w:val="Caption Char"/>
    <w:aliases w:val="TF Char,Epígrafe Char,cap Char,Caption Char Char Char2,Caption Char1 Char,Caption Char Char1 Char,Caption Char Char Char Char Char,Caption1 Char Char,Caption Char Char Char Char1 Char,Caption Char Char Char1 Char,Caption1 Char1"/>
    <w:link w:val="Caption"/>
    <w:rsid w:val="00E40F3E"/>
    <w:rPr>
      <w:rFonts w:ascii="Tahoma" w:eastAsia="Times New Roman" w:hAnsi="Tahoma" w:cs="Times New Roman"/>
      <w:b/>
      <w:bCs/>
      <w:sz w:val="20"/>
      <w:szCs w:val="20"/>
      <w:lang w:val="el-GR" w:eastAsia="el-GR"/>
    </w:rPr>
  </w:style>
  <w:style w:type="paragraph" w:customStyle="1" w:styleId="Text3">
    <w:name w:val="Text 3"/>
    <w:basedOn w:val="Normal"/>
    <w:uiPriority w:val="99"/>
    <w:rsid w:val="00453FB1"/>
    <w:pPr>
      <w:spacing w:after="120" w:line="240" w:lineRule="auto"/>
      <w:jc w:val="both"/>
    </w:pPr>
    <w:rPr>
      <w:rFonts w:ascii="Times New Roman" w:hAnsi="Times New Roman"/>
      <w:szCs w:val="20"/>
      <w:lang w:val="en-GB"/>
    </w:rPr>
  </w:style>
  <w:style w:type="character" w:customStyle="1" w:styleId="lblpage">
    <w:name w:val="lblpage"/>
    <w:uiPriority w:val="99"/>
    <w:rsid w:val="00A220A5"/>
    <w:rPr>
      <w:rFonts w:cs="Times New Roman"/>
    </w:rPr>
  </w:style>
  <w:style w:type="character" w:styleId="Strong">
    <w:name w:val="Strong"/>
    <w:uiPriority w:val="22"/>
    <w:qFormat/>
    <w:rsid w:val="00303DDB"/>
    <w:rPr>
      <w:b/>
      <w:bCs/>
    </w:rPr>
  </w:style>
  <w:style w:type="character" w:customStyle="1" w:styleId="ListParagraphChar">
    <w:name w:val="List Paragraph Char"/>
    <w:link w:val="ListParagraph"/>
    <w:uiPriority w:val="34"/>
    <w:locked/>
    <w:rsid w:val="007736C2"/>
    <w:rPr>
      <w:sz w:val="22"/>
      <w:szCs w:val="22"/>
    </w:rPr>
  </w:style>
  <w:style w:type="character" w:styleId="CommentReference">
    <w:name w:val="annotation reference"/>
    <w:uiPriority w:val="99"/>
    <w:semiHidden/>
    <w:unhideWhenUsed/>
    <w:rsid w:val="008E6BD3"/>
    <w:rPr>
      <w:sz w:val="16"/>
      <w:szCs w:val="16"/>
    </w:rPr>
  </w:style>
  <w:style w:type="paragraph" w:styleId="CommentText">
    <w:name w:val="annotation text"/>
    <w:basedOn w:val="Normal"/>
    <w:link w:val="CommentTextChar"/>
    <w:uiPriority w:val="99"/>
    <w:semiHidden/>
    <w:unhideWhenUsed/>
    <w:rsid w:val="008E6BD3"/>
    <w:rPr>
      <w:sz w:val="20"/>
      <w:szCs w:val="20"/>
    </w:rPr>
  </w:style>
  <w:style w:type="character" w:customStyle="1" w:styleId="CommentTextChar">
    <w:name w:val="Comment Text Char"/>
    <w:link w:val="CommentText"/>
    <w:uiPriority w:val="99"/>
    <w:semiHidden/>
    <w:rsid w:val="008E6BD3"/>
    <w:rPr>
      <w:lang w:val="en-US" w:eastAsia="en-US"/>
    </w:rPr>
  </w:style>
  <w:style w:type="paragraph" w:styleId="CommentSubject">
    <w:name w:val="annotation subject"/>
    <w:basedOn w:val="CommentText"/>
    <w:next w:val="CommentText"/>
    <w:link w:val="CommentSubjectChar"/>
    <w:uiPriority w:val="99"/>
    <w:semiHidden/>
    <w:unhideWhenUsed/>
    <w:rsid w:val="008E6BD3"/>
    <w:rPr>
      <w:b/>
      <w:bCs/>
    </w:rPr>
  </w:style>
  <w:style w:type="character" w:customStyle="1" w:styleId="CommentSubjectChar">
    <w:name w:val="Comment Subject Char"/>
    <w:link w:val="CommentSubject"/>
    <w:uiPriority w:val="99"/>
    <w:semiHidden/>
    <w:rsid w:val="008E6BD3"/>
    <w:rPr>
      <w:b/>
      <w:bCs/>
      <w:lang w:val="en-US" w:eastAsia="en-US"/>
    </w:rPr>
  </w:style>
  <w:style w:type="paragraph" w:customStyle="1" w:styleId="TableParagraph">
    <w:name w:val="Table Paragraph"/>
    <w:basedOn w:val="Normal"/>
    <w:uiPriority w:val="1"/>
    <w:qFormat/>
    <w:rsid w:val="00845790"/>
    <w:pPr>
      <w:widowControl w:val="0"/>
      <w:spacing w:after="0" w:line="240" w:lineRule="auto"/>
      <w:jc w:val="center"/>
    </w:pPr>
    <w:rPr>
      <w:rFonts w:ascii="Century Gothic" w:eastAsia="Century Gothic" w:hAnsi="Century Gothic" w:cs="Century Gothic"/>
    </w:rPr>
  </w:style>
  <w:style w:type="character" w:styleId="PageNumber">
    <w:name w:val="page number"/>
    <w:uiPriority w:val="99"/>
    <w:semiHidden/>
    <w:unhideWhenUsed/>
    <w:rsid w:val="00A166D2"/>
  </w:style>
  <w:style w:type="numbering" w:customStyle="1" w:styleId="NoList1">
    <w:name w:val="No List1"/>
    <w:next w:val="NoList"/>
    <w:uiPriority w:val="99"/>
    <w:semiHidden/>
    <w:unhideWhenUsed/>
    <w:rsid w:val="00496867"/>
  </w:style>
  <w:style w:type="table" w:customStyle="1" w:styleId="TableGrid1">
    <w:name w:val="Table Grid1"/>
    <w:basedOn w:val="TableNormal"/>
    <w:next w:val="TableGrid"/>
    <w:uiPriority w:val="59"/>
    <w:rsid w:val="004968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List-Accent5">
    <w:name w:val="Colorful List Accent 5"/>
    <w:basedOn w:val="TableNormal"/>
    <w:uiPriority w:val="72"/>
    <w:rsid w:val="00496867"/>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MediumShading1-Accent6">
    <w:name w:val="Medium Shading 1 Accent 6"/>
    <w:basedOn w:val="TableNormal"/>
    <w:uiPriority w:val="63"/>
    <w:rsid w:val="004968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4968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49686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6">
    <w:name w:val="Light Shading Accent 6"/>
    <w:basedOn w:val="TableNormal"/>
    <w:uiPriority w:val="60"/>
    <w:rsid w:val="0049686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NoList2">
    <w:name w:val="No List2"/>
    <w:next w:val="NoList"/>
    <w:uiPriority w:val="99"/>
    <w:semiHidden/>
    <w:unhideWhenUsed/>
    <w:rsid w:val="00C05BA7"/>
  </w:style>
  <w:style w:type="table" w:customStyle="1" w:styleId="TableGrid2">
    <w:name w:val="Table Grid2"/>
    <w:basedOn w:val="TableNormal"/>
    <w:next w:val="TableGrid"/>
    <w:uiPriority w:val="59"/>
    <w:rsid w:val="00C05B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A1DE5"/>
    <w:rPr>
      <w:i/>
      <w:iCs/>
    </w:rPr>
  </w:style>
  <w:style w:type="character" w:customStyle="1" w:styleId="shorttext">
    <w:name w:val="short_text"/>
    <w:basedOn w:val="DefaultParagraphFont"/>
    <w:rsid w:val="002A4776"/>
  </w:style>
  <w:style w:type="paragraph" w:styleId="EndnoteText">
    <w:name w:val="endnote text"/>
    <w:basedOn w:val="Normal"/>
    <w:link w:val="EndnoteTextChar"/>
    <w:uiPriority w:val="99"/>
    <w:semiHidden/>
    <w:unhideWhenUsed/>
    <w:rsid w:val="00F76171"/>
    <w:pPr>
      <w:spacing w:after="0" w:line="240" w:lineRule="auto"/>
    </w:pPr>
    <w:rPr>
      <w:sz w:val="20"/>
      <w:szCs w:val="20"/>
    </w:rPr>
  </w:style>
  <w:style w:type="character" w:customStyle="1" w:styleId="EndnoteTextChar">
    <w:name w:val="Endnote Text Char"/>
    <w:link w:val="EndnoteText"/>
    <w:uiPriority w:val="99"/>
    <w:semiHidden/>
    <w:rsid w:val="00F76171"/>
    <w:rPr>
      <w:lang w:val="en-US" w:eastAsia="en-US"/>
    </w:rPr>
  </w:style>
  <w:style w:type="character" w:styleId="EndnoteReference">
    <w:name w:val="endnote reference"/>
    <w:uiPriority w:val="99"/>
    <w:semiHidden/>
    <w:unhideWhenUsed/>
    <w:rsid w:val="00F76171"/>
    <w:rPr>
      <w:vertAlign w:val="superscript"/>
    </w:rPr>
  </w:style>
  <w:style w:type="paragraph" w:styleId="Revision">
    <w:name w:val="Revision"/>
    <w:hidden/>
    <w:uiPriority w:val="99"/>
    <w:semiHidden/>
    <w:rsid w:val="00C32DC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780">
      <w:bodyDiv w:val="1"/>
      <w:marLeft w:val="0"/>
      <w:marRight w:val="0"/>
      <w:marTop w:val="0"/>
      <w:marBottom w:val="0"/>
      <w:divBdr>
        <w:top w:val="none" w:sz="0" w:space="0" w:color="auto"/>
        <w:left w:val="none" w:sz="0" w:space="0" w:color="auto"/>
        <w:bottom w:val="none" w:sz="0" w:space="0" w:color="auto"/>
        <w:right w:val="none" w:sz="0" w:space="0" w:color="auto"/>
      </w:divBdr>
    </w:div>
    <w:div w:id="44449563">
      <w:bodyDiv w:val="1"/>
      <w:marLeft w:val="0"/>
      <w:marRight w:val="0"/>
      <w:marTop w:val="0"/>
      <w:marBottom w:val="0"/>
      <w:divBdr>
        <w:top w:val="none" w:sz="0" w:space="0" w:color="auto"/>
        <w:left w:val="none" w:sz="0" w:space="0" w:color="auto"/>
        <w:bottom w:val="none" w:sz="0" w:space="0" w:color="auto"/>
        <w:right w:val="none" w:sz="0" w:space="0" w:color="auto"/>
      </w:divBdr>
    </w:div>
    <w:div w:id="48891604">
      <w:bodyDiv w:val="1"/>
      <w:marLeft w:val="0"/>
      <w:marRight w:val="0"/>
      <w:marTop w:val="0"/>
      <w:marBottom w:val="0"/>
      <w:divBdr>
        <w:top w:val="none" w:sz="0" w:space="0" w:color="auto"/>
        <w:left w:val="none" w:sz="0" w:space="0" w:color="auto"/>
        <w:bottom w:val="none" w:sz="0" w:space="0" w:color="auto"/>
        <w:right w:val="none" w:sz="0" w:space="0" w:color="auto"/>
      </w:divBdr>
    </w:div>
    <w:div w:id="100687090">
      <w:bodyDiv w:val="1"/>
      <w:marLeft w:val="0"/>
      <w:marRight w:val="0"/>
      <w:marTop w:val="0"/>
      <w:marBottom w:val="0"/>
      <w:divBdr>
        <w:top w:val="none" w:sz="0" w:space="0" w:color="auto"/>
        <w:left w:val="none" w:sz="0" w:space="0" w:color="auto"/>
        <w:bottom w:val="none" w:sz="0" w:space="0" w:color="auto"/>
        <w:right w:val="none" w:sz="0" w:space="0" w:color="auto"/>
      </w:divBdr>
    </w:div>
    <w:div w:id="107241103">
      <w:bodyDiv w:val="1"/>
      <w:marLeft w:val="0"/>
      <w:marRight w:val="0"/>
      <w:marTop w:val="0"/>
      <w:marBottom w:val="0"/>
      <w:divBdr>
        <w:top w:val="none" w:sz="0" w:space="0" w:color="auto"/>
        <w:left w:val="none" w:sz="0" w:space="0" w:color="auto"/>
        <w:bottom w:val="none" w:sz="0" w:space="0" w:color="auto"/>
        <w:right w:val="none" w:sz="0" w:space="0" w:color="auto"/>
      </w:divBdr>
    </w:div>
    <w:div w:id="109980114">
      <w:bodyDiv w:val="1"/>
      <w:marLeft w:val="0"/>
      <w:marRight w:val="0"/>
      <w:marTop w:val="0"/>
      <w:marBottom w:val="0"/>
      <w:divBdr>
        <w:top w:val="none" w:sz="0" w:space="0" w:color="auto"/>
        <w:left w:val="none" w:sz="0" w:space="0" w:color="auto"/>
        <w:bottom w:val="none" w:sz="0" w:space="0" w:color="auto"/>
        <w:right w:val="none" w:sz="0" w:space="0" w:color="auto"/>
      </w:divBdr>
      <w:divsChild>
        <w:div w:id="196049356">
          <w:marLeft w:val="0"/>
          <w:marRight w:val="0"/>
          <w:marTop w:val="0"/>
          <w:marBottom w:val="0"/>
          <w:divBdr>
            <w:top w:val="none" w:sz="0" w:space="0" w:color="auto"/>
            <w:left w:val="none" w:sz="0" w:space="0" w:color="auto"/>
            <w:bottom w:val="none" w:sz="0" w:space="0" w:color="auto"/>
            <w:right w:val="none" w:sz="0" w:space="0" w:color="auto"/>
          </w:divBdr>
          <w:divsChild>
            <w:div w:id="1516531446">
              <w:marLeft w:val="0"/>
              <w:marRight w:val="0"/>
              <w:marTop w:val="0"/>
              <w:marBottom w:val="0"/>
              <w:divBdr>
                <w:top w:val="none" w:sz="0" w:space="0" w:color="auto"/>
                <w:left w:val="none" w:sz="0" w:space="0" w:color="auto"/>
                <w:bottom w:val="none" w:sz="0" w:space="0" w:color="auto"/>
                <w:right w:val="none" w:sz="0" w:space="0" w:color="auto"/>
              </w:divBdr>
              <w:divsChild>
                <w:div w:id="1141576347">
                  <w:marLeft w:val="0"/>
                  <w:marRight w:val="0"/>
                  <w:marTop w:val="0"/>
                  <w:marBottom w:val="0"/>
                  <w:divBdr>
                    <w:top w:val="none" w:sz="0" w:space="0" w:color="auto"/>
                    <w:left w:val="none" w:sz="0" w:space="0" w:color="auto"/>
                    <w:bottom w:val="none" w:sz="0" w:space="0" w:color="auto"/>
                    <w:right w:val="none" w:sz="0" w:space="0" w:color="auto"/>
                  </w:divBdr>
                  <w:divsChild>
                    <w:div w:id="1465002325">
                      <w:marLeft w:val="0"/>
                      <w:marRight w:val="0"/>
                      <w:marTop w:val="0"/>
                      <w:marBottom w:val="0"/>
                      <w:divBdr>
                        <w:top w:val="none" w:sz="0" w:space="0" w:color="auto"/>
                        <w:left w:val="none" w:sz="0" w:space="0" w:color="auto"/>
                        <w:bottom w:val="none" w:sz="0" w:space="0" w:color="auto"/>
                        <w:right w:val="none" w:sz="0" w:space="0" w:color="auto"/>
                      </w:divBdr>
                      <w:divsChild>
                        <w:div w:id="137772909">
                          <w:marLeft w:val="0"/>
                          <w:marRight w:val="0"/>
                          <w:marTop w:val="0"/>
                          <w:marBottom w:val="0"/>
                          <w:divBdr>
                            <w:top w:val="none" w:sz="0" w:space="0" w:color="auto"/>
                            <w:left w:val="none" w:sz="0" w:space="0" w:color="auto"/>
                            <w:bottom w:val="none" w:sz="0" w:space="0" w:color="auto"/>
                            <w:right w:val="none" w:sz="0" w:space="0" w:color="auto"/>
                          </w:divBdr>
                          <w:divsChild>
                            <w:div w:id="658463690">
                              <w:marLeft w:val="0"/>
                              <w:marRight w:val="0"/>
                              <w:marTop w:val="0"/>
                              <w:marBottom w:val="0"/>
                              <w:divBdr>
                                <w:top w:val="none" w:sz="0" w:space="0" w:color="auto"/>
                                <w:left w:val="none" w:sz="0" w:space="0" w:color="auto"/>
                                <w:bottom w:val="none" w:sz="0" w:space="0" w:color="auto"/>
                                <w:right w:val="none" w:sz="0" w:space="0" w:color="auto"/>
                              </w:divBdr>
                              <w:divsChild>
                                <w:div w:id="415249499">
                                  <w:marLeft w:val="0"/>
                                  <w:marRight w:val="0"/>
                                  <w:marTop w:val="0"/>
                                  <w:marBottom w:val="0"/>
                                  <w:divBdr>
                                    <w:top w:val="none" w:sz="0" w:space="0" w:color="auto"/>
                                    <w:left w:val="none" w:sz="0" w:space="0" w:color="auto"/>
                                    <w:bottom w:val="none" w:sz="0" w:space="0" w:color="auto"/>
                                    <w:right w:val="none" w:sz="0" w:space="0" w:color="auto"/>
                                  </w:divBdr>
                                </w:div>
                              </w:divsChild>
                            </w:div>
                            <w:div w:id="1667974907">
                              <w:marLeft w:val="-330"/>
                              <w:marRight w:val="0"/>
                              <w:marTop w:val="0"/>
                              <w:marBottom w:val="0"/>
                              <w:divBdr>
                                <w:top w:val="none" w:sz="0" w:space="0" w:color="auto"/>
                                <w:left w:val="none" w:sz="0" w:space="0" w:color="auto"/>
                                <w:bottom w:val="none" w:sz="0" w:space="0" w:color="auto"/>
                                <w:right w:val="none" w:sz="0" w:space="0" w:color="auto"/>
                              </w:divBdr>
                              <w:divsChild>
                                <w:div w:id="3692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075345">
          <w:marLeft w:val="0"/>
          <w:marRight w:val="0"/>
          <w:marTop w:val="0"/>
          <w:marBottom w:val="0"/>
          <w:divBdr>
            <w:top w:val="none" w:sz="0" w:space="0" w:color="auto"/>
            <w:left w:val="none" w:sz="0" w:space="0" w:color="auto"/>
            <w:bottom w:val="none" w:sz="0" w:space="0" w:color="auto"/>
            <w:right w:val="none" w:sz="0" w:space="0" w:color="auto"/>
          </w:divBdr>
          <w:divsChild>
            <w:div w:id="1924795064">
              <w:marLeft w:val="0"/>
              <w:marRight w:val="0"/>
              <w:marTop w:val="0"/>
              <w:marBottom w:val="0"/>
              <w:divBdr>
                <w:top w:val="none" w:sz="0" w:space="0" w:color="auto"/>
                <w:left w:val="none" w:sz="0" w:space="0" w:color="auto"/>
                <w:bottom w:val="none" w:sz="0" w:space="0" w:color="auto"/>
                <w:right w:val="none" w:sz="0" w:space="0" w:color="auto"/>
              </w:divBdr>
              <w:divsChild>
                <w:div w:id="730543654">
                  <w:marLeft w:val="0"/>
                  <w:marRight w:val="0"/>
                  <w:marTop w:val="0"/>
                  <w:marBottom w:val="0"/>
                  <w:divBdr>
                    <w:top w:val="none" w:sz="0" w:space="0" w:color="auto"/>
                    <w:left w:val="none" w:sz="0" w:space="0" w:color="auto"/>
                    <w:bottom w:val="none" w:sz="0" w:space="0" w:color="auto"/>
                    <w:right w:val="none" w:sz="0" w:space="0" w:color="auto"/>
                  </w:divBdr>
                  <w:divsChild>
                    <w:div w:id="2102867402">
                      <w:marLeft w:val="0"/>
                      <w:marRight w:val="0"/>
                      <w:marTop w:val="0"/>
                      <w:marBottom w:val="0"/>
                      <w:divBdr>
                        <w:top w:val="none" w:sz="0" w:space="0" w:color="auto"/>
                        <w:left w:val="none" w:sz="0" w:space="0" w:color="auto"/>
                        <w:bottom w:val="none" w:sz="0" w:space="0" w:color="auto"/>
                        <w:right w:val="none" w:sz="0" w:space="0" w:color="auto"/>
                      </w:divBdr>
                      <w:divsChild>
                        <w:div w:id="1447117762">
                          <w:marLeft w:val="0"/>
                          <w:marRight w:val="0"/>
                          <w:marTop w:val="0"/>
                          <w:marBottom w:val="0"/>
                          <w:divBdr>
                            <w:top w:val="none" w:sz="0" w:space="0" w:color="auto"/>
                            <w:left w:val="none" w:sz="0" w:space="0" w:color="auto"/>
                            <w:bottom w:val="none" w:sz="0" w:space="0" w:color="auto"/>
                            <w:right w:val="none" w:sz="0" w:space="0" w:color="auto"/>
                          </w:divBdr>
                          <w:divsChild>
                            <w:div w:id="409736833">
                              <w:marLeft w:val="0"/>
                              <w:marRight w:val="0"/>
                              <w:marTop w:val="0"/>
                              <w:marBottom w:val="0"/>
                              <w:divBdr>
                                <w:top w:val="none" w:sz="0" w:space="0" w:color="auto"/>
                                <w:left w:val="none" w:sz="0" w:space="0" w:color="auto"/>
                                <w:bottom w:val="none" w:sz="0" w:space="0" w:color="auto"/>
                                <w:right w:val="none" w:sz="0" w:space="0" w:color="auto"/>
                              </w:divBdr>
                              <w:divsChild>
                                <w:div w:id="1599826885">
                                  <w:marLeft w:val="0"/>
                                  <w:marRight w:val="0"/>
                                  <w:marTop w:val="0"/>
                                  <w:marBottom w:val="0"/>
                                  <w:divBdr>
                                    <w:top w:val="none" w:sz="0" w:space="0" w:color="auto"/>
                                    <w:left w:val="none" w:sz="0" w:space="0" w:color="auto"/>
                                    <w:bottom w:val="none" w:sz="0" w:space="0" w:color="auto"/>
                                    <w:right w:val="none" w:sz="0" w:space="0" w:color="auto"/>
                                  </w:divBdr>
                                  <w:divsChild>
                                    <w:div w:id="469517713">
                                      <w:marLeft w:val="0"/>
                                      <w:marRight w:val="0"/>
                                      <w:marTop w:val="0"/>
                                      <w:marBottom w:val="0"/>
                                      <w:divBdr>
                                        <w:top w:val="none" w:sz="0" w:space="0" w:color="auto"/>
                                        <w:left w:val="none" w:sz="0" w:space="0" w:color="auto"/>
                                        <w:bottom w:val="none" w:sz="0" w:space="0" w:color="auto"/>
                                        <w:right w:val="none" w:sz="0" w:space="0" w:color="auto"/>
                                      </w:divBdr>
                                      <w:divsChild>
                                        <w:div w:id="128935660">
                                          <w:marLeft w:val="0"/>
                                          <w:marRight w:val="0"/>
                                          <w:marTop w:val="0"/>
                                          <w:marBottom w:val="0"/>
                                          <w:divBdr>
                                            <w:top w:val="none" w:sz="0" w:space="0" w:color="auto"/>
                                            <w:left w:val="none" w:sz="0" w:space="0" w:color="auto"/>
                                            <w:bottom w:val="none" w:sz="0" w:space="0" w:color="auto"/>
                                            <w:right w:val="none" w:sz="0" w:space="0" w:color="auto"/>
                                          </w:divBdr>
                                          <w:divsChild>
                                            <w:div w:id="1015886798">
                                              <w:marLeft w:val="0"/>
                                              <w:marRight w:val="0"/>
                                              <w:marTop w:val="0"/>
                                              <w:marBottom w:val="0"/>
                                              <w:divBdr>
                                                <w:top w:val="none" w:sz="0" w:space="0" w:color="auto"/>
                                                <w:left w:val="none" w:sz="0" w:space="0" w:color="auto"/>
                                                <w:bottom w:val="none" w:sz="0" w:space="0" w:color="auto"/>
                                                <w:right w:val="none" w:sz="0" w:space="0" w:color="auto"/>
                                              </w:divBdr>
                                              <w:divsChild>
                                                <w:div w:id="1431975416">
                                                  <w:marLeft w:val="0"/>
                                                  <w:marRight w:val="0"/>
                                                  <w:marTop w:val="0"/>
                                                  <w:marBottom w:val="0"/>
                                                  <w:divBdr>
                                                    <w:top w:val="none" w:sz="0" w:space="0" w:color="auto"/>
                                                    <w:left w:val="none" w:sz="0" w:space="0" w:color="auto"/>
                                                    <w:bottom w:val="none" w:sz="0" w:space="0" w:color="auto"/>
                                                    <w:right w:val="none" w:sz="0" w:space="0" w:color="auto"/>
                                                  </w:divBdr>
                                                  <w:divsChild>
                                                    <w:div w:id="1531645194">
                                                      <w:marLeft w:val="0"/>
                                                      <w:marRight w:val="0"/>
                                                      <w:marTop w:val="0"/>
                                                      <w:marBottom w:val="0"/>
                                                      <w:divBdr>
                                                        <w:top w:val="none" w:sz="0" w:space="0" w:color="auto"/>
                                                        <w:left w:val="none" w:sz="0" w:space="0" w:color="auto"/>
                                                        <w:bottom w:val="none" w:sz="0" w:space="0" w:color="auto"/>
                                                        <w:right w:val="none" w:sz="0" w:space="0" w:color="auto"/>
                                                      </w:divBdr>
                                                      <w:divsChild>
                                                        <w:div w:id="1538200273">
                                                          <w:marLeft w:val="0"/>
                                                          <w:marRight w:val="0"/>
                                                          <w:marTop w:val="0"/>
                                                          <w:marBottom w:val="0"/>
                                                          <w:divBdr>
                                                            <w:top w:val="none" w:sz="0" w:space="0" w:color="auto"/>
                                                            <w:left w:val="none" w:sz="0" w:space="0" w:color="auto"/>
                                                            <w:bottom w:val="none" w:sz="0" w:space="0" w:color="auto"/>
                                                            <w:right w:val="none" w:sz="0" w:space="0" w:color="auto"/>
                                                          </w:divBdr>
                                                          <w:divsChild>
                                                            <w:div w:id="709888193">
                                                              <w:marLeft w:val="0"/>
                                                              <w:marRight w:val="0"/>
                                                              <w:marTop w:val="0"/>
                                                              <w:marBottom w:val="0"/>
                                                              <w:divBdr>
                                                                <w:top w:val="none" w:sz="0" w:space="0" w:color="auto"/>
                                                                <w:left w:val="none" w:sz="0" w:space="0" w:color="auto"/>
                                                                <w:bottom w:val="none" w:sz="0" w:space="0" w:color="auto"/>
                                                                <w:right w:val="none" w:sz="0" w:space="0" w:color="auto"/>
                                                              </w:divBdr>
                                                            </w:div>
                                                            <w:div w:id="16533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407180">
                          <w:marLeft w:val="0"/>
                          <w:marRight w:val="0"/>
                          <w:marTop w:val="0"/>
                          <w:marBottom w:val="0"/>
                          <w:divBdr>
                            <w:top w:val="none" w:sz="0" w:space="0" w:color="auto"/>
                            <w:left w:val="none" w:sz="0" w:space="0" w:color="auto"/>
                            <w:bottom w:val="none" w:sz="0" w:space="0" w:color="auto"/>
                            <w:right w:val="none" w:sz="0" w:space="0" w:color="auto"/>
                          </w:divBdr>
                          <w:divsChild>
                            <w:div w:id="1663966343">
                              <w:marLeft w:val="0"/>
                              <w:marRight w:val="0"/>
                              <w:marTop w:val="0"/>
                              <w:marBottom w:val="0"/>
                              <w:divBdr>
                                <w:top w:val="none" w:sz="0" w:space="0" w:color="auto"/>
                                <w:left w:val="none" w:sz="0" w:space="0" w:color="auto"/>
                                <w:bottom w:val="none" w:sz="0" w:space="0" w:color="auto"/>
                                <w:right w:val="none" w:sz="0" w:space="0" w:color="auto"/>
                              </w:divBdr>
                              <w:divsChild>
                                <w:div w:id="1191727522">
                                  <w:marLeft w:val="0"/>
                                  <w:marRight w:val="0"/>
                                  <w:marTop w:val="0"/>
                                  <w:marBottom w:val="0"/>
                                  <w:divBdr>
                                    <w:top w:val="none" w:sz="0" w:space="0" w:color="auto"/>
                                    <w:left w:val="none" w:sz="0" w:space="0" w:color="auto"/>
                                    <w:bottom w:val="none" w:sz="0" w:space="0" w:color="auto"/>
                                    <w:right w:val="none" w:sz="0" w:space="0" w:color="auto"/>
                                  </w:divBdr>
                                  <w:divsChild>
                                    <w:div w:id="1445223169">
                                      <w:marLeft w:val="0"/>
                                      <w:marRight w:val="0"/>
                                      <w:marTop w:val="0"/>
                                      <w:marBottom w:val="0"/>
                                      <w:divBdr>
                                        <w:top w:val="none" w:sz="0" w:space="0" w:color="auto"/>
                                        <w:left w:val="none" w:sz="0" w:space="0" w:color="auto"/>
                                        <w:bottom w:val="none" w:sz="0" w:space="0" w:color="auto"/>
                                        <w:right w:val="none" w:sz="0" w:space="0" w:color="auto"/>
                                      </w:divBdr>
                                      <w:divsChild>
                                        <w:div w:id="681778570">
                                          <w:marLeft w:val="0"/>
                                          <w:marRight w:val="0"/>
                                          <w:marTop w:val="0"/>
                                          <w:marBottom w:val="0"/>
                                          <w:divBdr>
                                            <w:top w:val="none" w:sz="0" w:space="0" w:color="auto"/>
                                            <w:left w:val="none" w:sz="0" w:space="0" w:color="auto"/>
                                            <w:bottom w:val="none" w:sz="0" w:space="0" w:color="auto"/>
                                            <w:right w:val="none" w:sz="0" w:space="0" w:color="auto"/>
                                          </w:divBdr>
                                          <w:divsChild>
                                            <w:div w:id="11292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00763">
      <w:bodyDiv w:val="1"/>
      <w:marLeft w:val="0"/>
      <w:marRight w:val="0"/>
      <w:marTop w:val="0"/>
      <w:marBottom w:val="0"/>
      <w:divBdr>
        <w:top w:val="none" w:sz="0" w:space="0" w:color="auto"/>
        <w:left w:val="none" w:sz="0" w:space="0" w:color="auto"/>
        <w:bottom w:val="none" w:sz="0" w:space="0" w:color="auto"/>
        <w:right w:val="none" w:sz="0" w:space="0" w:color="auto"/>
      </w:divBdr>
    </w:div>
    <w:div w:id="121508555">
      <w:bodyDiv w:val="1"/>
      <w:marLeft w:val="0"/>
      <w:marRight w:val="0"/>
      <w:marTop w:val="0"/>
      <w:marBottom w:val="0"/>
      <w:divBdr>
        <w:top w:val="none" w:sz="0" w:space="0" w:color="auto"/>
        <w:left w:val="none" w:sz="0" w:space="0" w:color="auto"/>
        <w:bottom w:val="none" w:sz="0" w:space="0" w:color="auto"/>
        <w:right w:val="none" w:sz="0" w:space="0" w:color="auto"/>
      </w:divBdr>
    </w:div>
    <w:div w:id="139003323">
      <w:bodyDiv w:val="1"/>
      <w:marLeft w:val="0"/>
      <w:marRight w:val="0"/>
      <w:marTop w:val="0"/>
      <w:marBottom w:val="0"/>
      <w:divBdr>
        <w:top w:val="none" w:sz="0" w:space="0" w:color="auto"/>
        <w:left w:val="none" w:sz="0" w:space="0" w:color="auto"/>
        <w:bottom w:val="none" w:sz="0" w:space="0" w:color="auto"/>
        <w:right w:val="none" w:sz="0" w:space="0" w:color="auto"/>
      </w:divBdr>
    </w:div>
    <w:div w:id="145898344">
      <w:bodyDiv w:val="1"/>
      <w:marLeft w:val="0"/>
      <w:marRight w:val="0"/>
      <w:marTop w:val="0"/>
      <w:marBottom w:val="0"/>
      <w:divBdr>
        <w:top w:val="none" w:sz="0" w:space="0" w:color="auto"/>
        <w:left w:val="none" w:sz="0" w:space="0" w:color="auto"/>
        <w:bottom w:val="none" w:sz="0" w:space="0" w:color="auto"/>
        <w:right w:val="none" w:sz="0" w:space="0" w:color="auto"/>
      </w:divBdr>
    </w:div>
    <w:div w:id="160587309">
      <w:bodyDiv w:val="1"/>
      <w:marLeft w:val="0"/>
      <w:marRight w:val="0"/>
      <w:marTop w:val="0"/>
      <w:marBottom w:val="0"/>
      <w:divBdr>
        <w:top w:val="none" w:sz="0" w:space="0" w:color="auto"/>
        <w:left w:val="none" w:sz="0" w:space="0" w:color="auto"/>
        <w:bottom w:val="none" w:sz="0" w:space="0" w:color="auto"/>
        <w:right w:val="none" w:sz="0" w:space="0" w:color="auto"/>
      </w:divBdr>
    </w:div>
    <w:div w:id="172384624">
      <w:bodyDiv w:val="1"/>
      <w:marLeft w:val="0"/>
      <w:marRight w:val="0"/>
      <w:marTop w:val="0"/>
      <w:marBottom w:val="0"/>
      <w:divBdr>
        <w:top w:val="none" w:sz="0" w:space="0" w:color="auto"/>
        <w:left w:val="none" w:sz="0" w:space="0" w:color="auto"/>
        <w:bottom w:val="none" w:sz="0" w:space="0" w:color="auto"/>
        <w:right w:val="none" w:sz="0" w:space="0" w:color="auto"/>
      </w:divBdr>
      <w:divsChild>
        <w:div w:id="17899427">
          <w:marLeft w:val="0"/>
          <w:marRight w:val="0"/>
          <w:marTop w:val="0"/>
          <w:marBottom w:val="0"/>
          <w:divBdr>
            <w:top w:val="none" w:sz="0" w:space="0" w:color="auto"/>
            <w:left w:val="none" w:sz="0" w:space="0" w:color="auto"/>
            <w:bottom w:val="none" w:sz="0" w:space="0" w:color="auto"/>
            <w:right w:val="none" w:sz="0" w:space="0" w:color="auto"/>
          </w:divBdr>
        </w:div>
        <w:div w:id="46683464">
          <w:marLeft w:val="0"/>
          <w:marRight w:val="0"/>
          <w:marTop w:val="0"/>
          <w:marBottom w:val="0"/>
          <w:divBdr>
            <w:top w:val="none" w:sz="0" w:space="0" w:color="auto"/>
            <w:left w:val="none" w:sz="0" w:space="0" w:color="auto"/>
            <w:bottom w:val="none" w:sz="0" w:space="0" w:color="auto"/>
            <w:right w:val="none" w:sz="0" w:space="0" w:color="auto"/>
          </w:divBdr>
        </w:div>
        <w:div w:id="136462959">
          <w:marLeft w:val="0"/>
          <w:marRight w:val="0"/>
          <w:marTop w:val="0"/>
          <w:marBottom w:val="0"/>
          <w:divBdr>
            <w:top w:val="none" w:sz="0" w:space="0" w:color="auto"/>
            <w:left w:val="none" w:sz="0" w:space="0" w:color="auto"/>
            <w:bottom w:val="none" w:sz="0" w:space="0" w:color="auto"/>
            <w:right w:val="none" w:sz="0" w:space="0" w:color="auto"/>
          </w:divBdr>
        </w:div>
        <w:div w:id="408424632">
          <w:marLeft w:val="0"/>
          <w:marRight w:val="0"/>
          <w:marTop w:val="0"/>
          <w:marBottom w:val="0"/>
          <w:divBdr>
            <w:top w:val="none" w:sz="0" w:space="0" w:color="auto"/>
            <w:left w:val="none" w:sz="0" w:space="0" w:color="auto"/>
            <w:bottom w:val="none" w:sz="0" w:space="0" w:color="auto"/>
            <w:right w:val="none" w:sz="0" w:space="0" w:color="auto"/>
          </w:divBdr>
        </w:div>
        <w:div w:id="412553286">
          <w:marLeft w:val="0"/>
          <w:marRight w:val="0"/>
          <w:marTop w:val="0"/>
          <w:marBottom w:val="0"/>
          <w:divBdr>
            <w:top w:val="none" w:sz="0" w:space="0" w:color="auto"/>
            <w:left w:val="none" w:sz="0" w:space="0" w:color="auto"/>
            <w:bottom w:val="none" w:sz="0" w:space="0" w:color="auto"/>
            <w:right w:val="none" w:sz="0" w:space="0" w:color="auto"/>
          </w:divBdr>
        </w:div>
        <w:div w:id="446314325">
          <w:marLeft w:val="0"/>
          <w:marRight w:val="0"/>
          <w:marTop w:val="0"/>
          <w:marBottom w:val="0"/>
          <w:divBdr>
            <w:top w:val="none" w:sz="0" w:space="0" w:color="auto"/>
            <w:left w:val="none" w:sz="0" w:space="0" w:color="auto"/>
            <w:bottom w:val="none" w:sz="0" w:space="0" w:color="auto"/>
            <w:right w:val="none" w:sz="0" w:space="0" w:color="auto"/>
          </w:divBdr>
        </w:div>
        <w:div w:id="509298609">
          <w:marLeft w:val="0"/>
          <w:marRight w:val="0"/>
          <w:marTop w:val="0"/>
          <w:marBottom w:val="0"/>
          <w:divBdr>
            <w:top w:val="none" w:sz="0" w:space="0" w:color="auto"/>
            <w:left w:val="none" w:sz="0" w:space="0" w:color="auto"/>
            <w:bottom w:val="none" w:sz="0" w:space="0" w:color="auto"/>
            <w:right w:val="none" w:sz="0" w:space="0" w:color="auto"/>
          </w:divBdr>
        </w:div>
        <w:div w:id="650525601">
          <w:marLeft w:val="0"/>
          <w:marRight w:val="0"/>
          <w:marTop w:val="0"/>
          <w:marBottom w:val="0"/>
          <w:divBdr>
            <w:top w:val="none" w:sz="0" w:space="0" w:color="auto"/>
            <w:left w:val="none" w:sz="0" w:space="0" w:color="auto"/>
            <w:bottom w:val="none" w:sz="0" w:space="0" w:color="auto"/>
            <w:right w:val="none" w:sz="0" w:space="0" w:color="auto"/>
          </w:divBdr>
        </w:div>
        <w:div w:id="654845112">
          <w:marLeft w:val="0"/>
          <w:marRight w:val="0"/>
          <w:marTop w:val="0"/>
          <w:marBottom w:val="0"/>
          <w:divBdr>
            <w:top w:val="none" w:sz="0" w:space="0" w:color="auto"/>
            <w:left w:val="none" w:sz="0" w:space="0" w:color="auto"/>
            <w:bottom w:val="none" w:sz="0" w:space="0" w:color="auto"/>
            <w:right w:val="none" w:sz="0" w:space="0" w:color="auto"/>
          </w:divBdr>
        </w:div>
        <w:div w:id="675033665">
          <w:marLeft w:val="0"/>
          <w:marRight w:val="0"/>
          <w:marTop w:val="0"/>
          <w:marBottom w:val="0"/>
          <w:divBdr>
            <w:top w:val="none" w:sz="0" w:space="0" w:color="auto"/>
            <w:left w:val="none" w:sz="0" w:space="0" w:color="auto"/>
            <w:bottom w:val="none" w:sz="0" w:space="0" w:color="auto"/>
            <w:right w:val="none" w:sz="0" w:space="0" w:color="auto"/>
          </w:divBdr>
        </w:div>
        <w:div w:id="723871768">
          <w:marLeft w:val="0"/>
          <w:marRight w:val="0"/>
          <w:marTop w:val="0"/>
          <w:marBottom w:val="0"/>
          <w:divBdr>
            <w:top w:val="none" w:sz="0" w:space="0" w:color="auto"/>
            <w:left w:val="none" w:sz="0" w:space="0" w:color="auto"/>
            <w:bottom w:val="none" w:sz="0" w:space="0" w:color="auto"/>
            <w:right w:val="none" w:sz="0" w:space="0" w:color="auto"/>
          </w:divBdr>
        </w:div>
        <w:div w:id="784739375">
          <w:marLeft w:val="0"/>
          <w:marRight w:val="0"/>
          <w:marTop w:val="0"/>
          <w:marBottom w:val="0"/>
          <w:divBdr>
            <w:top w:val="none" w:sz="0" w:space="0" w:color="auto"/>
            <w:left w:val="none" w:sz="0" w:space="0" w:color="auto"/>
            <w:bottom w:val="none" w:sz="0" w:space="0" w:color="auto"/>
            <w:right w:val="none" w:sz="0" w:space="0" w:color="auto"/>
          </w:divBdr>
        </w:div>
        <w:div w:id="791248753">
          <w:marLeft w:val="0"/>
          <w:marRight w:val="0"/>
          <w:marTop w:val="0"/>
          <w:marBottom w:val="0"/>
          <w:divBdr>
            <w:top w:val="none" w:sz="0" w:space="0" w:color="auto"/>
            <w:left w:val="none" w:sz="0" w:space="0" w:color="auto"/>
            <w:bottom w:val="none" w:sz="0" w:space="0" w:color="auto"/>
            <w:right w:val="none" w:sz="0" w:space="0" w:color="auto"/>
          </w:divBdr>
        </w:div>
        <w:div w:id="910508219">
          <w:marLeft w:val="0"/>
          <w:marRight w:val="0"/>
          <w:marTop w:val="0"/>
          <w:marBottom w:val="0"/>
          <w:divBdr>
            <w:top w:val="none" w:sz="0" w:space="0" w:color="auto"/>
            <w:left w:val="none" w:sz="0" w:space="0" w:color="auto"/>
            <w:bottom w:val="none" w:sz="0" w:space="0" w:color="auto"/>
            <w:right w:val="none" w:sz="0" w:space="0" w:color="auto"/>
          </w:divBdr>
        </w:div>
        <w:div w:id="1054543586">
          <w:marLeft w:val="0"/>
          <w:marRight w:val="0"/>
          <w:marTop w:val="0"/>
          <w:marBottom w:val="0"/>
          <w:divBdr>
            <w:top w:val="none" w:sz="0" w:space="0" w:color="auto"/>
            <w:left w:val="none" w:sz="0" w:space="0" w:color="auto"/>
            <w:bottom w:val="none" w:sz="0" w:space="0" w:color="auto"/>
            <w:right w:val="none" w:sz="0" w:space="0" w:color="auto"/>
          </w:divBdr>
        </w:div>
        <w:div w:id="1097752695">
          <w:marLeft w:val="0"/>
          <w:marRight w:val="0"/>
          <w:marTop w:val="0"/>
          <w:marBottom w:val="0"/>
          <w:divBdr>
            <w:top w:val="none" w:sz="0" w:space="0" w:color="auto"/>
            <w:left w:val="none" w:sz="0" w:space="0" w:color="auto"/>
            <w:bottom w:val="none" w:sz="0" w:space="0" w:color="auto"/>
            <w:right w:val="none" w:sz="0" w:space="0" w:color="auto"/>
          </w:divBdr>
        </w:div>
        <w:div w:id="1116799723">
          <w:marLeft w:val="0"/>
          <w:marRight w:val="0"/>
          <w:marTop w:val="0"/>
          <w:marBottom w:val="0"/>
          <w:divBdr>
            <w:top w:val="none" w:sz="0" w:space="0" w:color="auto"/>
            <w:left w:val="none" w:sz="0" w:space="0" w:color="auto"/>
            <w:bottom w:val="none" w:sz="0" w:space="0" w:color="auto"/>
            <w:right w:val="none" w:sz="0" w:space="0" w:color="auto"/>
          </w:divBdr>
        </w:div>
        <w:div w:id="1264533889">
          <w:marLeft w:val="0"/>
          <w:marRight w:val="0"/>
          <w:marTop w:val="0"/>
          <w:marBottom w:val="0"/>
          <w:divBdr>
            <w:top w:val="none" w:sz="0" w:space="0" w:color="auto"/>
            <w:left w:val="none" w:sz="0" w:space="0" w:color="auto"/>
            <w:bottom w:val="none" w:sz="0" w:space="0" w:color="auto"/>
            <w:right w:val="none" w:sz="0" w:space="0" w:color="auto"/>
          </w:divBdr>
        </w:div>
        <w:div w:id="1333753694">
          <w:marLeft w:val="0"/>
          <w:marRight w:val="0"/>
          <w:marTop w:val="0"/>
          <w:marBottom w:val="0"/>
          <w:divBdr>
            <w:top w:val="none" w:sz="0" w:space="0" w:color="auto"/>
            <w:left w:val="none" w:sz="0" w:space="0" w:color="auto"/>
            <w:bottom w:val="none" w:sz="0" w:space="0" w:color="auto"/>
            <w:right w:val="none" w:sz="0" w:space="0" w:color="auto"/>
          </w:divBdr>
        </w:div>
        <w:div w:id="1378117032">
          <w:marLeft w:val="0"/>
          <w:marRight w:val="0"/>
          <w:marTop w:val="0"/>
          <w:marBottom w:val="0"/>
          <w:divBdr>
            <w:top w:val="none" w:sz="0" w:space="0" w:color="auto"/>
            <w:left w:val="none" w:sz="0" w:space="0" w:color="auto"/>
            <w:bottom w:val="none" w:sz="0" w:space="0" w:color="auto"/>
            <w:right w:val="none" w:sz="0" w:space="0" w:color="auto"/>
          </w:divBdr>
        </w:div>
        <w:div w:id="1668511385">
          <w:marLeft w:val="0"/>
          <w:marRight w:val="0"/>
          <w:marTop w:val="0"/>
          <w:marBottom w:val="0"/>
          <w:divBdr>
            <w:top w:val="none" w:sz="0" w:space="0" w:color="auto"/>
            <w:left w:val="none" w:sz="0" w:space="0" w:color="auto"/>
            <w:bottom w:val="none" w:sz="0" w:space="0" w:color="auto"/>
            <w:right w:val="none" w:sz="0" w:space="0" w:color="auto"/>
          </w:divBdr>
        </w:div>
        <w:div w:id="1740130599">
          <w:marLeft w:val="0"/>
          <w:marRight w:val="0"/>
          <w:marTop w:val="0"/>
          <w:marBottom w:val="0"/>
          <w:divBdr>
            <w:top w:val="none" w:sz="0" w:space="0" w:color="auto"/>
            <w:left w:val="none" w:sz="0" w:space="0" w:color="auto"/>
            <w:bottom w:val="none" w:sz="0" w:space="0" w:color="auto"/>
            <w:right w:val="none" w:sz="0" w:space="0" w:color="auto"/>
          </w:divBdr>
        </w:div>
        <w:div w:id="1770925694">
          <w:marLeft w:val="0"/>
          <w:marRight w:val="0"/>
          <w:marTop w:val="0"/>
          <w:marBottom w:val="0"/>
          <w:divBdr>
            <w:top w:val="none" w:sz="0" w:space="0" w:color="auto"/>
            <w:left w:val="none" w:sz="0" w:space="0" w:color="auto"/>
            <w:bottom w:val="none" w:sz="0" w:space="0" w:color="auto"/>
            <w:right w:val="none" w:sz="0" w:space="0" w:color="auto"/>
          </w:divBdr>
        </w:div>
        <w:div w:id="1792673744">
          <w:marLeft w:val="0"/>
          <w:marRight w:val="0"/>
          <w:marTop w:val="0"/>
          <w:marBottom w:val="0"/>
          <w:divBdr>
            <w:top w:val="none" w:sz="0" w:space="0" w:color="auto"/>
            <w:left w:val="none" w:sz="0" w:space="0" w:color="auto"/>
            <w:bottom w:val="none" w:sz="0" w:space="0" w:color="auto"/>
            <w:right w:val="none" w:sz="0" w:space="0" w:color="auto"/>
          </w:divBdr>
        </w:div>
        <w:div w:id="1795324399">
          <w:marLeft w:val="0"/>
          <w:marRight w:val="0"/>
          <w:marTop w:val="0"/>
          <w:marBottom w:val="0"/>
          <w:divBdr>
            <w:top w:val="none" w:sz="0" w:space="0" w:color="auto"/>
            <w:left w:val="none" w:sz="0" w:space="0" w:color="auto"/>
            <w:bottom w:val="none" w:sz="0" w:space="0" w:color="auto"/>
            <w:right w:val="none" w:sz="0" w:space="0" w:color="auto"/>
          </w:divBdr>
        </w:div>
        <w:div w:id="1826047017">
          <w:marLeft w:val="0"/>
          <w:marRight w:val="0"/>
          <w:marTop w:val="0"/>
          <w:marBottom w:val="0"/>
          <w:divBdr>
            <w:top w:val="none" w:sz="0" w:space="0" w:color="auto"/>
            <w:left w:val="none" w:sz="0" w:space="0" w:color="auto"/>
            <w:bottom w:val="none" w:sz="0" w:space="0" w:color="auto"/>
            <w:right w:val="none" w:sz="0" w:space="0" w:color="auto"/>
          </w:divBdr>
        </w:div>
        <w:div w:id="1892693233">
          <w:marLeft w:val="0"/>
          <w:marRight w:val="0"/>
          <w:marTop w:val="0"/>
          <w:marBottom w:val="0"/>
          <w:divBdr>
            <w:top w:val="none" w:sz="0" w:space="0" w:color="auto"/>
            <w:left w:val="none" w:sz="0" w:space="0" w:color="auto"/>
            <w:bottom w:val="none" w:sz="0" w:space="0" w:color="auto"/>
            <w:right w:val="none" w:sz="0" w:space="0" w:color="auto"/>
          </w:divBdr>
        </w:div>
        <w:div w:id="1899591069">
          <w:marLeft w:val="0"/>
          <w:marRight w:val="0"/>
          <w:marTop w:val="0"/>
          <w:marBottom w:val="0"/>
          <w:divBdr>
            <w:top w:val="none" w:sz="0" w:space="0" w:color="auto"/>
            <w:left w:val="none" w:sz="0" w:space="0" w:color="auto"/>
            <w:bottom w:val="none" w:sz="0" w:space="0" w:color="auto"/>
            <w:right w:val="none" w:sz="0" w:space="0" w:color="auto"/>
          </w:divBdr>
        </w:div>
        <w:div w:id="2003848909">
          <w:marLeft w:val="0"/>
          <w:marRight w:val="0"/>
          <w:marTop w:val="0"/>
          <w:marBottom w:val="0"/>
          <w:divBdr>
            <w:top w:val="none" w:sz="0" w:space="0" w:color="auto"/>
            <w:left w:val="none" w:sz="0" w:space="0" w:color="auto"/>
            <w:bottom w:val="none" w:sz="0" w:space="0" w:color="auto"/>
            <w:right w:val="none" w:sz="0" w:space="0" w:color="auto"/>
          </w:divBdr>
        </w:div>
        <w:div w:id="2067336199">
          <w:marLeft w:val="0"/>
          <w:marRight w:val="0"/>
          <w:marTop w:val="0"/>
          <w:marBottom w:val="0"/>
          <w:divBdr>
            <w:top w:val="none" w:sz="0" w:space="0" w:color="auto"/>
            <w:left w:val="none" w:sz="0" w:space="0" w:color="auto"/>
            <w:bottom w:val="none" w:sz="0" w:space="0" w:color="auto"/>
            <w:right w:val="none" w:sz="0" w:space="0" w:color="auto"/>
          </w:divBdr>
        </w:div>
        <w:div w:id="2097169502">
          <w:marLeft w:val="0"/>
          <w:marRight w:val="0"/>
          <w:marTop w:val="0"/>
          <w:marBottom w:val="0"/>
          <w:divBdr>
            <w:top w:val="none" w:sz="0" w:space="0" w:color="auto"/>
            <w:left w:val="none" w:sz="0" w:space="0" w:color="auto"/>
            <w:bottom w:val="none" w:sz="0" w:space="0" w:color="auto"/>
            <w:right w:val="none" w:sz="0" w:space="0" w:color="auto"/>
          </w:divBdr>
        </w:div>
        <w:div w:id="2101947438">
          <w:marLeft w:val="0"/>
          <w:marRight w:val="0"/>
          <w:marTop w:val="0"/>
          <w:marBottom w:val="0"/>
          <w:divBdr>
            <w:top w:val="none" w:sz="0" w:space="0" w:color="auto"/>
            <w:left w:val="none" w:sz="0" w:space="0" w:color="auto"/>
            <w:bottom w:val="none" w:sz="0" w:space="0" w:color="auto"/>
            <w:right w:val="none" w:sz="0" w:space="0" w:color="auto"/>
          </w:divBdr>
        </w:div>
        <w:div w:id="2105344178">
          <w:marLeft w:val="0"/>
          <w:marRight w:val="0"/>
          <w:marTop w:val="0"/>
          <w:marBottom w:val="0"/>
          <w:divBdr>
            <w:top w:val="none" w:sz="0" w:space="0" w:color="auto"/>
            <w:left w:val="none" w:sz="0" w:space="0" w:color="auto"/>
            <w:bottom w:val="none" w:sz="0" w:space="0" w:color="auto"/>
            <w:right w:val="none" w:sz="0" w:space="0" w:color="auto"/>
          </w:divBdr>
        </w:div>
        <w:div w:id="2143187713">
          <w:marLeft w:val="0"/>
          <w:marRight w:val="0"/>
          <w:marTop w:val="0"/>
          <w:marBottom w:val="0"/>
          <w:divBdr>
            <w:top w:val="none" w:sz="0" w:space="0" w:color="auto"/>
            <w:left w:val="none" w:sz="0" w:space="0" w:color="auto"/>
            <w:bottom w:val="none" w:sz="0" w:space="0" w:color="auto"/>
            <w:right w:val="none" w:sz="0" w:space="0" w:color="auto"/>
          </w:divBdr>
        </w:div>
      </w:divsChild>
    </w:div>
    <w:div w:id="176045329">
      <w:bodyDiv w:val="1"/>
      <w:marLeft w:val="0"/>
      <w:marRight w:val="0"/>
      <w:marTop w:val="0"/>
      <w:marBottom w:val="0"/>
      <w:divBdr>
        <w:top w:val="none" w:sz="0" w:space="0" w:color="auto"/>
        <w:left w:val="none" w:sz="0" w:space="0" w:color="auto"/>
        <w:bottom w:val="none" w:sz="0" w:space="0" w:color="auto"/>
        <w:right w:val="none" w:sz="0" w:space="0" w:color="auto"/>
      </w:divBdr>
    </w:div>
    <w:div w:id="181212181">
      <w:bodyDiv w:val="1"/>
      <w:marLeft w:val="0"/>
      <w:marRight w:val="0"/>
      <w:marTop w:val="0"/>
      <w:marBottom w:val="0"/>
      <w:divBdr>
        <w:top w:val="none" w:sz="0" w:space="0" w:color="auto"/>
        <w:left w:val="none" w:sz="0" w:space="0" w:color="auto"/>
        <w:bottom w:val="none" w:sz="0" w:space="0" w:color="auto"/>
        <w:right w:val="none" w:sz="0" w:space="0" w:color="auto"/>
      </w:divBdr>
    </w:div>
    <w:div w:id="186676157">
      <w:bodyDiv w:val="1"/>
      <w:marLeft w:val="0"/>
      <w:marRight w:val="0"/>
      <w:marTop w:val="0"/>
      <w:marBottom w:val="0"/>
      <w:divBdr>
        <w:top w:val="none" w:sz="0" w:space="0" w:color="auto"/>
        <w:left w:val="none" w:sz="0" w:space="0" w:color="auto"/>
        <w:bottom w:val="none" w:sz="0" w:space="0" w:color="auto"/>
        <w:right w:val="none" w:sz="0" w:space="0" w:color="auto"/>
      </w:divBdr>
    </w:div>
    <w:div w:id="193856573">
      <w:bodyDiv w:val="1"/>
      <w:marLeft w:val="0"/>
      <w:marRight w:val="0"/>
      <w:marTop w:val="0"/>
      <w:marBottom w:val="0"/>
      <w:divBdr>
        <w:top w:val="none" w:sz="0" w:space="0" w:color="auto"/>
        <w:left w:val="none" w:sz="0" w:space="0" w:color="auto"/>
        <w:bottom w:val="none" w:sz="0" w:space="0" w:color="auto"/>
        <w:right w:val="none" w:sz="0" w:space="0" w:color="auto"/>
      </w:divBdr>
    </w:div>
    <w:div w:id="198058164">
      <w:bodyDiv w:val="1"/>
      <w:marLeft w:val="0"/>
      <w:marRight w:val="0"/>
      <w:marTop w:val="0"/>
      <w:marBottom w:val="0"/>
      <w:divBdr>
        <w:top w:val="none" w:sz="0" w:space="0" w:color="auto"/>
        <w:left w:val="none" w:sz="0" w:space="0" w:color="auto"/>
        <w:bottom w:val="none" w:sz="0" w:space="0" w:color="auto"/>
        <w:right w:val="none" w:sz="0" w:space="0" w:color="auto"/>
      </w:divBdr>
    </w:div>
    <w:div w:id="223493251">
      <w:bodyDiv w:val="1"/>
      <w:marLeft w:val="0"/>
      <w:marRight w:val="0"/>
      <w:marTop w:val="0"/>
      <w:marBottom w:val="0"/>
      <w:divBdr>
        <w:top w:val="none" w:sz="0" w:space="0" w:color="auto"/>
        <w:left w:val="none" w:sz="0" w:space="0" w:color="auto"/>
        <w:bottom w:val="none" w:sz="0" w:space="0" w:color="auto"/>
        <w:right w:val="none" w:sz="0" w:space="0" w:color="auto"/>
      </w:divBdr>
    </w:div>
    <w:div w:id="234094846">
      <w:bodyDiv w:val="1"/>
      <w:marLeft w:val="0"/>
      <w:marRight w:val="0"/>
      <w:marTop w:val="0"/>
      <w:marBottom w:val="0"/>
      <w:divBdr>
        <w:top w:val="none" w:sz="0" w:space="0" w:color="auto"/>
        <w:left w:val="none" w:sz="0" w:space="0" w:color="auto"/>
        <w:bottom w:val="none" w:sz="0" w:space="0" w:color="auto"/>
        <w:right w:val="none" w:sz="0" w:space="0" w:color="auto"/>
      </w:divBdr>
    </w:div>
    <w:div w:id="260649218">
      <w:bodyDiv w:val="1"/>
      <w:marLeft w:val="0"/>
      <w:marRight w:val="0"/>
      <w:marTop w:val="0"/>
      <w:marBottom w:val="0"/>
      <w:divBdr>
        <w:top w:val="none" w:sz="0" w:space="0" w:color="auto"/>
        <w:left w:val="none" w:sz="0" w:space="0" w:color="auto"/>
        <w:bottom w:val="none" w:sz="0" w:space="0" w:color="auto"/>
        <w:right w:val="none" w:sz="0" w:space="0" w:color="auto"/>
      </w:divBdr>
    </w:div>
    <w:div w:id="280887992">
      <w:bodyDiv w:val="1"/>
      <w:marLeft w:val="0"/>
      <w:marRight w:val="0"/>
      <w:marTop w:val="0"/>
      <w:marBottom w:val="0"/>
      <w:divBdr>
        <w:top w:val="none" w:sz="0" w:space="0" w:color="auto"/>
        <w:left w:val="none" w:sz="0" w:space="0" w:color="auto"/>
        <w:bottom w:val="none" w:sz="0" w:space="0" w:color="auto"/>
        <w:right w:val="none" w:sz="0" w:space="0" w:color="auto"/>
      </w:divBdr>
    </w:div>
    <w:div w:id="288516987">
      <w:bodyDiv w:val="1"/>
      <w:marLeft w:val="0"/>
      <w:marRight w:val="0"/>
      <w:marTop w:val="0"/>
      <w:marBottom w:val="0"/>
      <w:divBdr>
        <w:top w:val="none" w:sz="0" w:space="0" w:color="auto"/>
        <w:left w:val="none" w:sz="0" w:space="0" w:color="auto"/>
        <w:bottom w:val="none" w:sz="0" w:space="0" w:color="auto"/>
        <w:right w:val="none" w:sz="0" w:space="0" w:color="auto"/>
      </w:divBdr>
    </w:div>
    <w:div w:id="292946240">
      <w:bodyDiv w:val="1"/>
      <w:marLeft w:val="0"/>
      <w:marRight w:val="0"/>
      <w:marTop w:val="0"/>
      <w:marBottom w:val="0"/>
      <w:divBdr>
        <w:top w:val="none" w:sz="0" w:space="0" w:color="auto"/>
        <w:left w:val="none" w:sz="0" w:space="0" w:color="auto"/>
        <w:bottom w:val="none" w:sz="0" w:space="0" w:color="auto"/>
        <w:right w:val="none" w:sz="0" w:space="0" w:color="auto"/>
      </w:divBdr>
    </w:div>
    <w:div w:id="295140190">
      <w:bodyDiv w:val="1"/>
      <w:marLeft w:val="0"/>
      <w:marRight w:val="0"/>
      <w:marTop w:val="0"/>
      <w:marBottom w:val="0"/>
      <w:divBdr>
        <w:top w:val="none" w:sz="0" w:space="0" w:color="auto"/>
        <w:left w:val="none" w:sz="0" w:space="0" w:color="auto"/>
        <w:bottom w:val="none" w:sz="0" w:space="0" w:color="auto"/>
        <w:right w:val="none" w:sz="0" w:space="0" w:color="auto"/>
      </w:divBdr>
    </w:div>
    <w:div w:id="300157316">
      <w:bodyDiv w:val="1"/>
      <w:marLeft w:val="0"/>
      <w:marRight w:val="0"/>
      <w:marTop w:val="0"/>
      <w:marBottom w:val="0"/>
      <w:divBdr>
        <w:top w:val="none" w:sz="0" w:space="0" w:color="auto"/>
        <w:left w:val="none" w:sz="0" w:space="0" w:color="auto"/>
        <w:bottom w:val="none" w:sz="0" w:space="0" w:color="auto"/>
        <w:right w:val="none" w:sz="0" w:space="0" w:color="auto"/>
      </w:divBdr>
    </w:div>
    <w:div w:id="323628265">
      <w:bodyDiv w:val="1"/>
      <w:marLeft w:val="0"/>
      <w:marRight w:val="0"/>
      <w:marTop w:val="0"/>
      <w:marBottom w:val="0"/>
      <w:divBdr>
        <w:top w:val="none" w:sz="0" w:space="0" w:color="auto"/>
        <w:left w:val="none" w:sz="0" w:space="0" w:color="auto"/>
        <w:bottom w:val="none" w:sz="0" w:space="0" w:color="auto"/>
        <w:right w:val="none" w:sz="0" w:space="0" w:color="auto"/>
      </w:divBdr>
    </w:div>
    <w:div w:id="337542050">
      <w:bodyDiv w:val="1"/>
      <w:marLeft w:val="0"/>
      <w:marRight w:val="0"/>
      <w:marTop w:val="0"/>
      <w:marBottom w:val="0"/>
      <w:divBdr>
        <w:top w:val="none" w:sz="0" w:space="0" w:color="auto"/>
        <w:left w:val="none" w:sz="0" w:space="0" w:color="auto"/>
        <w:bottom w:val="none" w:sz="0" w:space="0" w:color="auto"/>
        <w:right w:val="none" w:sz="0" w:space="0" w:color="auto"/>
      </w:divBdr>
    </w:div>
    <w:div w:id="373434496">
      <w:bodyDiv w:val="1"/>
      <w:marLeft w:val="0"/>
      <w:marRight w:val="0"/>
      <w:marTop w:val="0"/>
      <w:marBottom w:val="0"/>
      <w:divBdr>
        <w:top w:val="none" w:sz="0" w:space="0" w:color="auto"/>
        <w:left w:val="none" w:sz="0" w:space="0" w:color="auto"/>
        <w:bottom w:val="none" w:sz="0" w:space="0" w:color="auto"/>
        <w:right w:val="none" w:sz="0" w:space="0" w:color="auto"/>
      </w:divBdr>
    </w:div>
    <w:div w:id="377362639">
      <w:bodyDiv w:val="1"/>
      <w:marLeft w:val="0"/>
      <w:marRight w:val="0"/>
      <w:marTop w:val="0"/>
      <w:marBottom w:val="0"/>
      <w:divBdr>
        <w:top w:val="none" w:sz="0" w:space="0" w:color="auto"/>
        <w:left w:val="none" w:sz="0" w:space="0" w:color="auto"/>
        <w:bottom w:val="none" w:sz="0" w:space="0" w:color="auto"/>
        <w:right w:val="none" w:sz="0" w:space="0" w:color="auto"/>
      </w:divBdr>
    </w:div>
    <w:div w:id="455367947">
      <w:bodyDiv w:val="1"/>
      <w:marLeft w:val="0"/>
      <w:marRight w:val="0"/>
      <w:marTop w:val="0"/>
      <w:marBottom w:val="0"/>
      <w:divBdr>
        <w:top w:val="none" w:sz="0" w:space="0" w:color="auto"/>
        <w:left w:val="none" w:sz="0" w:space="0" w:color="auto"/>
        <w:bottom w:val="none" w:sz="0" w:space="0" w:color="auto"/>
        <w:right w:val="none" w:sz="0" w:space="0" w:color="auto"/>
      </w:divBdr>
    </w:div>
    <w:div w:id="491141284">
      <w:bodyDiv w:val="1"/>
      <w:marLeft w:val="0"/>
      <w:marRight w:val="0"/>
      <w:marTop w:val="0"/>
      <w:marBottom w:val="0"/>
      <w:divBdr>
        <w:top w:val="none" w:sz="0" w:space="0" w:color="auto"/>
        <w:left w:val="none" w:sz="0" w:space="0" w:color="auto"/>
        <w:bottom w:val="none" w:sz="0" w:space="0" w:color="auto"/>
        <w:right w:val="none" w:sz="0" w:space="0" w:color="auto"/>
      </w:divBdr>
    </w:div>
    <w:div w:id="501511223">
      <w:bodyDiv w:val="1"/>
      <w:marLeft w:val="0"/>
      <w:marRight w:val="0"/>
      <w:marTop w:val="0"/>
      <w:marBottom w:val="0"/>
      <w:divBdr>
        <w:top w:val="none" w:sz="0" w:space="0" w:color="auto"/>
        <w:left w:val="none" w:sz="0" w:space="0" w:color="auto"/>
        <w:bottom w:val="none" w:sz="0" w:space="0" w:color="auto"/>
        <w:right w:val="none" w:sz="0" w:space="0" w:color="auto"/>
      </w:divBdr>
    </w:div>
    <w:div w:id="505679214">
      <w:bodyDiv w:val="1"/>
      <w:marLeft w:val="0"/>
      <w:marRight w:val="0"/>
      <w:marTop w:val="0"/>
      <w:marBottom w:val="0"/>
      <w:divBdr>
        <w:top w:val="none" w:sz="0" w:space="0" w:color="auto"/>
        <w:left w:val="none" w:sz="0" w:space="0" w:color="auto"/>
        <w:bottom w:val="none" w:sz="0" w:space="0" w:color="auto"/>
        <w:right w:val="none" w:sz="0" w:space="0" w:color="auto"/>
      </w:divBdr>
    </w:div>
    <w:div w:id="518472227">
      <w:bodyDiv w:val="1"/>
      <w:marLeft w:val="0"/>
      <w:marRight w:val="0"/>
      <w:marTop w:val="0"/>
      <w:marBottom w:val="0"/>
      <w:divBdr>
        <w:top w:val="none" w:sz="0" w:space="0" w:color="auto"/>
        <w:left w:val="none" w:sz="0" w:space="0" w:color="auto"/>
        <w:bottom w:val="none" w:sz="0" w:space="0" w:color="auto"/>
        <w:right w:val="none" w:sz="0" w:space="0" w:color="auto"/>
      </w:divBdr>
    </w:div>
    <w:div w:id="529875816">
      <w:bodyDiv w:val="1"/>
      <w:marLeft w:val="0"/>
      <w:marRight w:val="0"/>
      <w:marTop w:val="0"/>
      <w:marBottom w:val="0"/>
      <w:divBdr>
        <w:top w:val="none" w:sz="0" w:space="0" w:color="auto"/>
        <w:left w:val="none" w:sz="0" w:space="0" w:color="auto"/>
        <w:bottom w:val="none" w:sz="0" w:space="0" w:color="auto"/>
        <w:right w:val="none" w:sz="0" w:space="0" w:color="auto"/>
      </w:divBdr>
    </w:div>
    <w:div w:id="543062684">
      <w:bodyDiv w:val="1"/>
      <w:marLeft w:val="0"/>
      <w:marRight w:val="0"/>
      <w:marTop w:val="0"/>
      <w:marBottom w:val="0"/>
      <w:divBdr>
        <w:top w:val="none" w:sz="0" w:space="0" w:color="auto"/>
        <w:left w:val="none" w:sz="0" w:space="0" w:color="auto"/>
        <w:bottom w:val="none" w:sz="0" w:space="0" w:color="auto"/>
        <w:right w:val="none" w:sz="0" w:space="0" w:color="auto"/>
      </w:divBdr>
    </w:div>
    <w:div w:id="554438347">
      <w:bodyDiv w:val="1"/>
      <w:marLeft w:val="0"/>
      <w:marRight w:val="0"/>
      <w:marTop w:val="0"/>
      <w:marBottom w:val="0"/>
      <w:divBdr>
        <w:top w:val="none" w:sz="0" w:space="0" w:color="auto"/>
        <w:left w:val="none" w:sz="0" w:space="0" w:color="auto"/>
        <w:bottom w:val="none" w:sz="0" w:space="0" w:color="auto"/>
        <w:right w:val="none" w:sz="0" w:space="0" w:color="auto"/>
      </w:divBdr>
    </w:div>
    <w:div w:id="569929253">
      <w:bodyDiv w:val="1"/>
      <w:marLeft w:val="0"/>
      <w:marRight w:val="0"/>
      <w:marTop w:val="0"/>
      <w:marBottom w:val="0"/>
      <w:divBdr>
        <w:top w:val="none" w:sz="0" w:space="0" w:color="auto"/>
        <w:left w:val="none" w:sz="0" w:space="0" w:color="auto"/>
        <w:bottom w:val="none" w:sz="0" w:space="0" w:color="auto"/>
        <w:right w:val="none" w:sz="0" w:space="0" w:color="auto"/>
      </w:divBdr>
    </w:div>
    <w:div w:id="583076696">
      <w:bodyDiv w:val="1"/>
      <w:marLeft w:val="0"/>
      <w:marRight w:val="0"/>
      <w:marTop w:val="0"/>
      <w:marBottom w:val="0"/>
      <w:divBdr>
        <w:top w:val="none" w:sz="0" w:space="0" w:color="auto"/>
        <w:left w:val="none" w:sz="0" w:space="0" w:color="auto"/>
        <w:bottom w:val="none" w:sz="0" w:space="0" w:color="auto"/>
        <w:right w:val="none" w:sz="0" w:space="0" w:color="auto"/>
      </w:divBdr>
    </w:div>
    <w:div w:id="605626157">
      <w:bodyDiv w:val="1"/>
      <w:marLeft w:val="0"/>
      <w:marRight w:val="0"/>
      <w:marTop w:val="0"/>
      <w:marBottom w:val="0"/>
      <w:divBdr>
        <w:top w:val="none" w:sz="0" w:space="0" w:color="auto"/>
        <w:left w:val="none" w:sz="0" w:space="0" w:color="auto"/>
        <w:bottom w:val="none" w:sz="0" w:space="0" w:color="auto"/>
        <w:right w:val="none" w:sz="0" w:space="0" w:color="auto"/>
      </w:divBdr>
    </w:div>
    <w:div w:id="609824880">
      <w:bodyDiv w:val="1"/>
      <w:marLeft w:val="0"/>
      <w:marRight w:val="0"/>
      <w:marTop w:val="0"/>
      <w:marBottom w:val="0"/>
      <w:divBdr>
        <w:top w:val="none" w:sz="0" w:space="0" w:color="auto"/>
        <w:left w:val="none" w:sz="0" w:space="0" w:color="auto"/>
        <w:bottom w:val="none" w:sz="0" w:space="0" w:color="auto"/>
        <w:right w:val="none" w:sz="0" w:space="0" w:color="auto"/>
      </w:divBdr>
    </w:div>
    <w:div w:id="612858582">
      <w:bodyDiv w:val="1"/>
      <w:marLeft w:val="0"/>
      <w:marRight w:val="0"/>
      <w:marTop w:val="0"/>
      <w:marBottom w:val="0"/>
      <w:divBdr>
        <w:top w:val="none" w:sz="0" w:space="0" w:color="auto"/>
        <w:left w:val="none" w:sz="0" w:space="0" w:color="auto"/>
        <w:bottom w:val="none" w:sz="0" w:space="0" w:color="auto"/>
        <w:right w:val="none" w:sz="0" w:space="0" w:color="auto"/>
      </w:divBdr>
    </w:div>
    <w:div w:id="620234168">
      <w:bodyDiv w:val="1"/>
      <w:marLeft w:val="0"/>
      <w:marRight w:val="0"/>
      <w:marTop w:val="0"/>
      <w:marBottom w:val="0"/>
      <w:divBdr>
        <w:top w:val="none" w:sz="0" w:space="0" w:color="auto"/>
        <w:left w:val="none" w:sz="0" w:space="0" w:color="auto"/>
        <w:bottom w:val="none" w:sz="0" w:space="0" w:color="auto"/>
        <w:right w:val="none" w:sz="0" w:space="0" w:color="auto"/>
      </w:divBdr>
    </w:div>
    <w:div w:id="630014729">
      <w:bodyDiv w:val="1"/>
      <w:marLeft w:val="0"/>
      <w:marRight w:val="0"/>
      <w:marTop w:val="0"/>
      <w:marBottom w:val="0"/>
      <w:divBdr>
        <w:top w:val="none" w:sz="0" w:space="0" w:color="auto"/>
        <w:left w:val="none" w:sz="0" w:space="0" w:color="auto"/>
        <w:bottom w:val="none" w:sz="0" w:space="0" w:color="auto"/>
        <w:right w:val="none" w:sz="0" w:space="0" w:color="auto"/>
      </w:divBdr>
    </w:div>
    <w:div w:id="630596334">
      <w:bodyDiv w:val="1"/>
      <w:marLeft w:val="0"/>
      <w:marRight w:val="0"/>
      <w:marTop w:val="0"/>
      <w:marBottom w:val="0"/>
      <w:divBdr>
        <w:top w:val="none" w:sz="0" w:space="0" w:color="auto"/>
        <w:left w:val="none" w:sz="0" w:space="0" w:color="auto"/>
        <w:bottom w:val="none" w:sz="0" w:space="0" w:color="auto"/>
        <w:right w:val="none" w:sz="0" w:space="0" w:color="auto"/>
      </w:divBdr>
    </w:div>
    <w:div w:id="644042628">
      <w:bodyDiv w:val="1"/>
      <w:marLeft w:val="0"/>
      <w:marRight w:val="0"/>
      <w:marTop w:val="0"/>
      <w:marBottom w:val="0"/>
      <w:divBdr>
        <w:top w:val="none" w:sz="0" w:space="0" w:color="auto"/>
        <w:left w:val="none" w:sz="0" w:space="0" w:color="auto"/>
        <w:bottom w:val="none" w:sz="0" w:space="0" w:color="auto"/>
        <w:right w:val="none" w:sz="0" w:space="0" w:color="auto"/>
      </w:divBdr>
    </w:div>
    <w:div w:id="669211002">
      <w:bodyDiv w:val="1"/>
      <w:marLeft w:val="0"/>
      <w:marRight w:val="0"/>
      <w:marTop w:val="0"/>
      <w:marBottom w:val="0"/>
      <w:divBdr>
        <w:top w:val="none" w:sz="0" w:space="0" w:color="auto"/>
        <w:left w:val="none" w:sz="0" w:space="0" w:color="auto"/>
        <w:bottom w:val="none" w:sz="0" w:space="0" w:color="auto"/>
        <w:right w:val="none" w:sz="0" w:space="0" w:color="auto"/>
      </w:divBdr>
    </w:div>
    <w:div w:id="682049848">
      <w:bodyDiv w:val="1"/>
      <w:marLeft w:val="0"/>
      <w:marRight w:val="0"/>
      <w:marTop w:val="0"/>
      <w:marBottom w:val="0"/>
      <w:divBdr>
        <w:top w:val="none" w:sz="0" w:space="0" w:color="auto"/>
        <w:left w:val="none" w:sz="0" w:space="0" w:color="auto"/>
        <w:bottom w:val="none" w:sz="0" w:space="0" w:color="auto"/>
        <w:right w:val="none" w:sz="0" w:space="0" w:color="auto"/>
      </w:divBdr>
    </w:div>
    <w:div w:id="691490481">
      <w:bodyDiv w:val="1"/>
      <w:marLeft w:val="0"/>
      <w:marRight w:val="0"/>
      <w:marTop w:val="0"/>
      <w:marBottom w:val="0"/>
      <w:divBdr>
        <w:top w:val="none" w:sz="0" w:space="0" w:color="auto"/>
        <w:left w:val="none" w:sz="0" w:space="0" w:color="auto"/>
        <w:bottom w:val="none" w:sz="0" w:space="0" w:color="auto"/>
        <w:right w:val="none" w:sz="0" w:space="0" w:color="auto"/>
      </w:divBdr>
    </w:div>
    <w:div w:id="691691159">
      <w:bodyDiv w:val="1"/>
      <w:marLeft w:val="0"/>
      <w:marRight w:val="0"/>
      <w:marTop w:val="0"/>
      <w:marBottom w:val="0"/>
      <w:divBdr>
        <w:top w:val="none" w:sz="0" w:space="0" w:color="auto"/>
        <w:left w:val="none" w:sz="0" w:space="0" w:color="auto"/>
        <w:bottom w:val="none" w:sz="0" w:space="0" w:color="auto"/>
        <w:right w:val="none" w:sz="0" w:space="0" w:color="auto"/>
      </w:divBdr>
    </w:div>
    <w:div w:id="722484267">
      <w:bodyDiv w:val="1"/>
      <w:marLeft w:val="0"/>
      <w:marRight w:val="0"/>
      <w:marTop w:val="0"/>
      <w:marBottom w:val="0"/>
      <w:divBdr>
        <w:top w:val="none" w:sz="0" w:space="0" w:color="auto"/>
        <w:left w:val="none" w:sz="0" w:space="0" w:color="auto"/>
        <w:bottom w:val="none" w:sz="0" w:space="0" w:color="auto"/>
        <w:right w:val="none" w:sz="0" w:space="0" w:color="auto"/>
      </w:divBdr>
    </w:div>
    <w:div w:id="724304399">
      <w:bodyDiv w:val="1"/>
      <w:marLeft w:val="0"/>
      <w:marRight w:val="0"/>
      <w:marTop w:val="0"/>
      <w:marBottom w:val="0"/>
      <w:divBdr>
        <w:top w:val="none" w:sz="0" w:space="0" w:color="auto"/>
        <w:left w:val="none" w:sz="0" w:space="0" w:color="auto"/>
        <w:bottom w:val="none" w:sz="0" w:space="0" w:color="auto"/>
        <w:right w:val="none" w:sz="0" w:space="0" w:color="auto"/>
      </w:divBdr>
    </w:div>
    <w:div w:id="726030846">
      <w:bodyDiv w:val="1"/>
      <w:marLeft w:val="0"/>
      <w:marRight w:val="0"/>
      <w:marTop w:val="0"/>
      <w:marBottom w:val="0"/>
      <w:divBdr>
        <w:top w:val="none" w:sz="0" w:space="0" w:color="auto"/>
        <w:left w:val="none" w:sz="0" w:space="0" w:color="auto"/>
        <w:bottom w:val="none" w:sz="0" w:space="0" w:color="auto"/>
        <w:right w:val="none" w:sz="0" w:space="0" w:color="auto"/>
      </w:divBdr>
    </w:div>
    <w:div w:id="730276276">
      <w:bodyDiv w:val="1"/>
      <w:marLeft w:val="0"/>
      <w:marRight w:val="0"/>
      <w:marTop w:val="0"/>
      <w:marBottom w:val="0"/>
      <w:divBdr>
        <w:top w:val="none" w:sz="0" w:space="0" w:color="auto"/>
        <w:left w:val="none" w:sz="0" w:space="0" w:color="auto"/>
        <w:bottom w:val="none" w:sz="0" w:space="0" w:color="auto"/>
        <w:right w:val="none" w:sz="0" w:space="0" w:color="auto"/>
      </w:divBdr>
    </w:div>
    <w:div w:id="768500189">
      <w:bodyDiv w:val="1"/>
      <w:marLeft w:val="0"/>
      <w:marRight w:val="0"/>
      <w:marTop w:val="0"/>
      <w:marBottom w:val="0"/>
      <w:divBdr>
        <w:top w:val="none" w:sz="0" w:space="0" w:color="auto"/>
        <w:left w:val="none" w:sz="0" w:space="0" w:color="auto"/>
        <w:bottom w:val="none" w:sz="0" w:space="0" w:color="auto"/>
        <w:right w:val="none" w:sz="0" w:space="0" w:color="auto"/>
      </w:divBdr>
    </w:div>
    <w:div w:id="773327080">
      <w:bodyDiv w:val="1"/>
      <w:marLeft w:val="0"/>
      <w:marRight w:val="0"/>
      <w:marTop w:val="0"/>
      <w:marBottom w:val="0"/>
      <w:divBdr>
        <w:top w:val="none" w:sz="0" w:space="0" w:color="auto"/>
        <w:left w:val="none" w:sz="0" w:space="0" w:color="auto"/>
        <w:bottom w:val="none" w:sz="0" w:space="0" w:color="auto"/>
        <w:right w:val="none" w:sz="0" w:space="0" w:color="auto"/>
      </w:divBdr>
    </w:div>
    <w:div w:id="777530435">
      <w:bodyDiv w:val="1"/>
      <w:marLeft w:val="0"/>
      <w:marRight w:val="0"/>
      <w:marTop w:val="0"/>
      <w:marBottom w:val="0"/>
      <w:divBdr>
        <w:top w:val="none" w:sz="0" w:space="0" w:color="auto"/>
        <w:left w:val="none" w:sz="0" w:space="0" w:color="auto"/>
        <w:bottom w:val="none" w:sz="0" w:space="0" w:color="auto"/>
        <w:right w:val="none" w:sz="0" w:space="0" w:color="auto"/>
      </w:divBdr>
    </w:div>
    <w:div w:id="784008798">
      <w:bodyDiv w:val="1"/>
      <w:marLeft w:val="0"/>
      <w:marRight w:val="0"/>
      <w:marTop w:val="0"/>
      <w:marBottom w:val="0"/>
      <w:divBdr>
        <w:top w:val="none" w:sz="0" w:space="0" w:color="auto"/>
        <w:left w:val="none" w:sz="0" w:space="0" w:color="auto"/>
        <w:bottom w:val="none" w:sz="0" w:space="0" w:color="auto"/>
        <w:right w:val="none" w:sz="0" w:space="0" w:color="auto"/>
      </w:divBdr>
    </w:div>
    <w:div w:id="784887213">
      <w:bodyDiv w:val="1"/>
      <w:marLeft w:val="0"/>
      <w:marRight w:val="0"/>
      <w:marTop w:val="0"/>
      <w:marBottom w:val="0"/>
      <w:divBdr>
        <w:top w:val="none" w:sz="0" w:space="0" w:color="auto"/>
        <w:left w:val="none" w:sz="0" w:space="0" w:color="auto"/>
        <w:bottom w:val="none" w:sz="0" w:space="0" w:color="auto"/>
        <w:right w:val="none" w:sz="0" w:space="0" w:color="auto"/>
      </w:divBdr>
    </w:div>
    <w:div w:id="789394313">
      <w:bodyDiv w:val="1"/>
      <w:marLeft w:val="0"/>
      <w:marRight w:val="0"/>
      <w:marTop w:val="0"/>
      <w:marBottom w:val="0"/>
      <w:divBdr>
        <w:top w:val="none" w:sz="0" w:space="0" w:color="auto"/>
        <w:left w:val="none" w:sz="0" w:space="0" w:color="auto"/>
        <w:bottom w:val="none" w:sz="0" w:space="0" w:color="auto"/>
        <w:right w:val="none" w:sz="0" w:space="0" w:color="auto"/>
      </w:divBdr>
    </w:div>
    <w:div w:id="810707910">
      <w:bodyDiv w:val="1"/>
      <w:marLeft w:val="0"/>
      <w:marRight w:val="0"/>
      <w:marTop w:val="0"/>
      <w:marBottom w:val="0"/>
      <w:divBdr>
        <w:top w:val="none" w:sz="0" w:space="0" w:color="auto"/>
        <w:left w:val="none" w:sz="0" w:space="0" w:color="auto"/>
        <w:bottom w:val="none" w:sz="0" w:space="0" w:color="auto"/>
        <w:right w:val="none" w:sz="0" w:space="0" w:color="auto"/>
      </w:divBdr>
    </w:div>
    <w:div w:id="825515107">
      <w:bodyDiv w:val="1"/>
      <w:marLeft w:val="0"/>
      <w:marRight w:val="0"/>
      <w:marTop w:val="0"/>
      <w:marBottom w:val="0"/>
      <w:divBdr>
        <w:top w:val="none" w:sz="0" w:space="0" w:color="auto"/>
        <w:left w:val="none" w:sz="0" w:space="0" w:color="auto"/>
        <w:bottom w:val="none" w:sz="0" w:space="0" w:color="auto"/>
        <w:right w:val="none" w:sz="0" w:space="0" w:color="auto"/>
      </w:divBdr>
    </w:div>
    <w:div w:id="831720792">
      <w:bodyDiv w:val="1"/>
      <w:marLeft w:val="0"/>
      <w:marRight w:val="0"/>
      <w:marTop w:val="0"/>
      <w:marBottom w:val="0"/>
      <w:divBdr>
        <w:top w:val="none" w:sz="0" w:space="0" w:color="auto"/>
        <w:left w:val="none" w:sz="0" w:space="0" w:color="auto"/>
        <w:bottom w:val="none" w:sz="0" w:space="0" w:color="auto"/>
        <w:right w:val="none" w:sz="0" w:space="0" w:color="auto"/>
      </w:divBdr>
    </w:div>
    <w:div w:id="836382785">
      <w:bodyDiv w:val="1"/>
      <w:marLeft w:val="0"/>
      <w:marRight w:val="0"/>
      <w:marTop w:val="0"/>
      <w:marBottom w:val="0"/>
      <w:divBdr>
        <w:top w:val="none" w:sz="0" w:space="0" w:color="auto"/>
        <w:left w:val="none" w:sz="0" w:space="0" w:color="auto"/>
        <w:bottom w:val="none" w:sz="0" w:space="0" w:color="auto"/>
        <w:right w:val="none" w:sz="0" w:space="0" w:color="auto"/>
      </w:divBdr>
    </w:div>
    <w:div w:id="838348338">
      <w:bodyDiv w:val="1"/>
      <w:marLeft w:val="0"/>
      <w:marRight w:val="0"/>
      <w:marTop w:val="0"/>
      <w:marBottom w:val="0"/>
      <w:divBdr>
        <w:top w:val="none" w:sz="0" w:space="0" w:color="auto"/>
        <w:left w:val="none" w:sz="0" w:space="0" w:color="auto"/>
        <w:bottom w:val="none" w:sz="0" w:space="0" w:color="auto"/>
        <w:right w:val="none" w:sz="0" w:space="0" w:color="auto"/>
      </w:divBdr>
    </w:div>
    <w:div w:id="850022827">
      <w:bodyDiv w:val="1"/>
      <w:marLeft w:val="0"/>
      <w:marRight w:val="0"/>
      <w:marTop w:val="0"/>
      <w:marBottom w:val="0"/>
      <w:divBdr>
        <w:top w:val="none" w:sz="0" w:space="0" w:color="auto"/>
        <w:left w:val="none" w:sz="0" w:space="0" w:color="auto"/>
        <w:bottom w:val="none" w:sz="0" w:space="0" w:color="auto"/>
        <w:right w:val="none" w:sz="0" w:space="0" w:color="auto"/>
      </w:divBdr>
    </w:div>
    <w:div w:id="913852923">
      <w:bodyDiv w:val="1"/>
      <w:marLeft w:val="0"/>
      <w:marRight w:val="0"/>
      <w:marTop w:val="0"/>
      <w:marBottom w:val="0"/>
      <w:divBdr>
        <w:top w:val="none" w:sz="0" w:space="0" w:color="auto"/>
        <w:left w:val="none" w:sz="0" w:space="0" w:color="auto"/>
        <w:bottom w:val="none" w:sz="0" w:space="0" w:color="auto"/>
        <w:right w:val="none" w:sz="0" w:space="0" w:color="auto"/>
      </w:divBdr>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52705855">
      <w:bodyDiv w:val="1"/>
      <w:marLeft w:val="0"/>
      <w:marRight w:val="0"/>
      <w:marTop w:val="0"/>
      <w:marBottom w:val="0"/>
      <w:divBdr>
        <w:top w:val="none" w:sz="0" w:space="0" w:color="auto"/>
        <w:left w:val="none" w:sz="0" w:space="0" w:color="auto"/>
        <w:bottom w:val="none" w:sz="0" w:space="0" w:color="auto"/>
        <w:right w:val="none" w:sz="0" w:space="0" w:color="auto"/>
      </w:divBdr>
    </w:div>
    <w:div w:id="977295200">
      <w:bodyDiv w:val="1"/>
      <w:marLeft w:val="0"/>
      <w:marRight w:val="0"/>
      <w:marTop w:val="0"/>
      <w:marBottom w:val="0"/>
      <w:divBdr>
        <w:top w:val="none" w:sz="0" w:space="0" w:color="auto"/>
        <w:left w:val="none" w:sz="0" w:space="0" w:color="auto"/>
        <w:bottom w:val="none" w:sz="0" w:space="0" w:color="auto"/>
        <w:right w:val="none" w:sz="0" w:space="0" w:color="auto"/>
      </w:divBdr>
      <w:divsChild>
        <w:div w:id="105783579">
          <w:marLeft w:val="0"/>
          <w:marRight w:val="0"/>
          <w:marTop w:val="0"/>
          <w:marBottom w:val="0"/>
          <w:divBdr>
            <w:top w:val="none" w:sz="0" w:space="0" w:color="auto"/>
            <w:left w:val="none" w:sz="0" w:space="0" w:color="auto"/>
            <w:bottom w:val="none" w:sz="0" w:space="0" w:color="auto"/>
            <w:right w:val="none" w:sz="0" w:space="0" w:color="auto"/>
          </w:divBdr>
          <w:divsChild>
            <w:div w:id="28992960">
              <w:marLeft w:val="0"/>
              <w:marRight w:val="0"/>
              <w:marTop w:val="0"/>
              <w:marBottom w:val="0"/>
              <w:divBdr>
                <w:top w:val="none" w:sz="0" w:space="0" w:color="auto"/>
                <w:left w:val="none" w:sz="0" w:space="0" w:color="auto"/>
                <w:bottom w:val="none" w:sz="0" w:space="0" w:color="auto"/>
                <w:right w:val="none" w:sz="0" w:space="0" w:color="auto"/>
              </w:divBdr>
            </w:div>
            <w:div w:id="53627261">
              <w:marLeft w:val="0"/>
              <w:marRight w:val="0"/>
              <w:marTop w:val="0"/>
              <w:marBottom w:val="0"/>
              <w:divBdr>
                <w:top w:val="none" w:sz="0" w:space="0" w:color="auto"/>
                <w:left w:val="none" w:sz="0" w:space="0" w:color="auto"/>
                <w:bottom w:val="none" w:sz="0" w:space="0" w:color="auto"/>
                <w:right w:val="none" w:sz="0" w:space="0" w:color="auto"/>
              </w:divBdr>
            </w:div>
            <w:div w:id="175340943">
              <w:marLeft w:val="0"/>
              <w:marRight w:val="0"/>
              <w:marTop w:val="0"/>
              <w:marBottom w:val="0"/>
              <w:divBdr>
                <w:top w:val="none" w:sz="0" w:space="0" w:color="auto"/>
                <w:left w:val="none" w:sz="0" w:space="0" w:color="auto"/>
                <w:bottom w:val="none" w:sz="0" w:space="0" w:color="auto"/>
                <w:right w:val="none" w:sz="0" w:space="0" w:color="auto"/>
              </w:divBdr>
            </w:div>
            <w:div w:id="218906756">
              <w:marLeft w:val="0"/>
              <w:marRight w:val="0"/>
              <w:marTop w:val="0"/>
              <w:marBottom w:val="0"/>
              <w:divBdr>
                <w:top w:val="none" w:sz="0" w:space="0" w:color="auto"/>
                <w:left w:val="none" w:sz="0" w:space="0" w:color="auto"/>
                <w:bottom w:val="none" w:sz="0" w:space="0" w:color="auto"/>
                <w:right w:val="none" w:sz="0" w:space="0" w:color="auto"/>
              </w:divBdr>
            </w:div>
            <w:div w:id="423766028">
              <w:marLeft w:val="0"/>
              <w:marRight w:val="0"/>
              <w:marTop w:val="0"/>
              <w:marBottom w:val="0"/>
              <w:divBdr>
                <w:top w:val="none" w:sz="0" w:space="0" w:color="auto"/>
                <w:left w:val="none" w:sz="0" w:space="0" w:color="auto"/>
                <w:bottom w:val="none" w:sz="0" w:space="0" w:color="auto"/>
                <w:right w:val="none" w:sz="0" w:space="0" w:color="auto"/>
              </w:divBdr>
            </w:div>
            <w:div w:id="483159732">
              <w:marLeft w:val="0"/>
              <w:marRight w:val="0"/>
              <w:marTop w:val="0"/>
              <w:marBottom w:val="0"/>
              <w:divBdr>
                <w:top w:val="none" w:sz="0" w:space="0" w:color="auto"/>
                <w:left w:val="none" w:sz="0" w:space="0" w:color="auto"/>
                <w:bottom w:val="none" w:sz="0" w:space="0" w:color="auto"/>
                <w:right w:val="none" w:sz="0" w:space="0" w:color="auto"/>
              </w:divBdr>
            </w:div>
            <w:div w:id="561479631">
              <w:marLeft w:val="0"/>
              <w:marRight w:val="0"/>
              <w:marTop w:val="0"/>
              <w:marBottom w:val="0"/>
              <w:divBdr>
                <w:top w:val="none" w:sz="0" w:space="0" w:color="auto"/>
                <w:left w:val="none" w:sz="0" w:space="0" w:color="auto"/>
                <w:bottom w:val="none" w:sz="0" w:space="0" w:color="auto"/>
                <w:right w:val="none" w:sz="0" w:space="0" w:color="auto"/>
              </w:divBdr>
            </w:div>
            <w:div w:id="836966127">
              <w:marLeft w:val="0"/>
              <w:marRight w:val="0"/>
              <w:marTop w:val="0"/>
              <w:marBottom w:val="0"/>
              <w:divBdr>
                <w:top w:val="none" w:sz="0" w:space="0" w:color="auto"/>
                <w:left w:val="none" w:sz="0" w:space="0" w:color="auto"/>
                <w:bottom w:val="none" w:sz="0" w:space="0" w:color="auto"/>
                <w:right w:val="none" w:sz="0" w:space="0" w:color="auto"/>
              </w:divBdr>
            </w:div>
            <w:div w:id="1316301631">
              <w:marLeft w:val="0"/>
              <w:marRight w:val="0"/>
              <w:marTop w:val="0"/>
              <w:marBottom w:val="0"/>
              <w:divBdr>
                <w:top w:val="none" w:sz="0" w:space="0" w:color="auto"/>
                <w:left w:val="none" w:sz="0" w:space="0" w:color="auto"/>
                <w:bottom w:val="none" w:sz="0" w:space="0" w:color="auto"/>
                <w:right w:val="none" w:sz="0" w:space="0" w:color="auto"/>
              </w:divBdr>
            </w:div>
            <w:div w:id="1375812235">
              <w:marLeft w:val="0"/>
              <w:marRight w:val="0"/>
              <w:marTop w:val="0"/>
              <w:marBottom w:val="0"/>
              <w:divBdr>
                <w:top w:val="none" w:sz="0" w:space="0" w:color="auto"/>
                <w:left w:val="none" w:sz="0" w:space="0" w:color="auto"/>
                <w:bottom w:val="none" w:sz="0" w:space="0" w:color="auto"/>
                <w:right w:val="none" w:sz="0" w:space="0" w:color="auto"/>
              </w:divBdr>
            </w:div>
            <w:div w:id="1378822046">
              <w:marLeft w:val="0"/>
              <w:marRight w:val="0"/>
              <w:marTop w:val="0"/>
              <w:marBottom w:val="0"/>
              <w:divBdr>
                <w:top w:val="none" w:sz="0" w:space="0" w:color="auto"/>
                <w:left w:val="none" w:sz="0" w:space="0" w:color="auto"/>
                <w:bottom w:val="none" w:sz="0" w:space="0" w:color="auto"/>
                <w:right w:val="none" w:sz="0" w:space="0" w:color="auto"/>
              </w:divBdr>
            </w:div>
            <w:div w:id="1415204309">
              <w:marLeft w:val="0"/>
              <w:marRight w:val="0"/>
              <w:marTop w:val="0"/>
              <w:marBottom w:val="0"/>
              <w:divBdr>
                <w:top w:val="none" w:sz="0" w:space="0" w:color="auto"/>
                <w:left w:val="none" w:sz="0" w:space="0" w:color="auto"/>
                <w:bottom w:val="none" w:sz="0" w:space="0" w:color="auto"/>
                <w:right w:val="none" w:sz="0" w:space="0" w:color="auto"/>
              </w:divBdr>
            </w:div>
            <w:div w:id="1416130139">
              <w:marLeft w:val="0"/>
              <w:marRight w:val="0"/>
              <w:marTop w:val="0"/>
              <w:marBottom w:val="0"/>
              <w:divBdr>
                <w:top w:val="none" w:sz="0" w:space="0" w:color="auto"/>
                <w:left w:val="none" w:sz="0" w:space="0" w:color="auto"/>
                <w:bottom w:val="none" w:sz="0" w:space="0" w:color="auto"/>
                <w:right w:val="none" w:sz="0" w:space="0" w:color="auto"/>
              </w:divBdr>
            </w:div>
            <w:div w:id="1612778355">
              <w:marLeft w:val="0"/>
              <w:marRight w:val="0"/>
              <w:marTop w:val="0"/>
              <w:marBottom w:val="0"/>
              <w:divBdr>
                <w:top w:val="none" w:sz="0" w:space="0" w:color="auto"/>
                <w:left w:val="none" w:sz="0" w:space="0" w:color="auto"/>
                <w:bottom w:val="none" w:sz="0" w:space="0" w:color="auto"/>
                <w:right w:val="none" w:sz="0" w:space="0" w:color="auto"/>
              </w:divBdr>
            </w:div>
            <w:div w:id="1642075229">
              <w:marLeft w:val="0"/>
              <w:marRight w:val="0"/>
              <w:marTop w:val="0"/>
              <w:marBottom w:val="0"/>
              <w:divBdr>
                <w:top w:val="none" w:sz="0" w:space="0" w:color="auto"/>
                <w:left w:val="none" w:sz="0" w:space="0" w:color="auto"/>
                <w:bottom w:val="none" w:sz="0" w:space="0" w:color="auto"/>
                <w:right w:val="none" w:sz="0" w:space="0" w:color="auto"/>
              </w:divBdr>
            </w:div>
            <w:div w:id="1670869737">
              <w:marLeft w:val="0"/>
              <w:marRight w:val="0"/>
              <w:marTop w:val="0"/>
              <w:marBottom w:val="0"/>
              <w:divBdr>
                <w:top w:val="none" w:sz="0" w:space="0" w:color="auto"/>
                <w:left w:val="none" w:sz="0" w:space="0" w:color="auto"/>
                <w:bottom w:val="none" w:sz="0" w:space="0" w:color="auto"/>
                <w:right w:val="none" w:sz="0" w:space="0" w:color="auto"/>
              </w:divBdr>
            </w:div>
            <w:div w:id="1708142469">
              <w:marLeft w:val="0"/>
              <w:marRight w:val="0"/>
              <w:marTop w:val="0"/>
              <w:marBottom w:val="0"/>
              <w:divBdr>
                <w:top w:val="none" w:sz="0" w:space="0" w:color="auto"/>
                <w:left w:val="none" w:sz="0" w:space="0" w:color="auto"/>
                <w:bottom w:val="none" w:sz="0" w:space="0" w:color="auto"/>
                <w:right w:val="none" w:sz="0" w:space="0" w:color="auto"/>
              </w:divBdr>
            </w:div>
            <w:div w:id="2057971459">
              <w:marLeft w:val="0"/>
              <w:marRight w:val="0"/>
              <w:marTop w:val="0"/>
              <w:marBottom w:val="0"/>
              <w:divBdr>
                <w:top w:val="none" w:sz="0" w:space="0" w:color="auto"/>
                <w:left w:val="none" w:sz="0" w:space="0" w:color="auto"/>
                <w:bottom w:val="none" w:sz="0" w:space="0" w:color="auto"/>
                <w:right w:val="none" w:sz="0" w:space="0" w:color="auto"/>
              </w:divBdr>
            </w:div>
            <w:div w:id="2080397597">
              <w:marLeft w:val="0"/>
              <w:marRight w:val="0"/>
              <w:marTop w:val="0"/>
              <w:marBottom w:val="0"/>
              <w:divBdr>
                <w:top w:val="none" w:sz="0" w:space="0" w:color="auto"/>
                <w:left w:val="none" w:sz="0" w:space="0" w:color="auto"/>
                <w:bottom w:val="none" w:sz="0" w:space="0" w:color="auto"/>
                <w:right w:val="none" w:sz="0" w:space="0" w:color="auto"/>
              </w:divBdr>
            </w:div>
          </w:divsChild>
        </w:div>
        <w:div w:id="760835211">
          <w:marLeft w:val="0"/>
          <w:marRight w:val="0"/>
          <w:marTop w:val="0"/>
          <w:marBottom w:val="0"/>
          <w:divBdr>
            <w:top w:val="none" w:sz="0" w:space="0" w:color="auto"/>
            <w:left w:val="none" w:sz="0" w:space="0" w:color="auto"/>
            <w:bottom w:val="none" w:sz="0" w:space="0" w:color="auto"/>
            <w:right w:val="none" w:sz="0" w:space="0" w:color="auto"/>
          </w:divBdr>
        </w:div>
      </w:divsChild>
    </w:div>
    <w:div w:id="1000080210">
      <w:bodyDiv w:val="1"/>
      <w:marLeft w:val="0"/>
      <w:marRight w:val="0"/>
      <w:marTop w:val="0"/>
      <w:marBottom w:val="0"/>
      <w:divBdr>
        <w:top w:val="none" w:sz="0" w:space="0" w:color="auto"/>
        <w:left w:val="none" w:sz="0" w:space="0" w:color="auto"/>
        <w:bottom w:val="none" w:sz="0" w:space="0" w:color="auto"/>
        <w:right w:val="none" w:sz="0" w:space="0" w:color="auto"/>
      </w:divBdr>
    </w:div>
    <w:div w:id="1005942243">
      <w:bodyDiv w:val="1"/>
      <w:marLeft w:val="0"/>
      <w:marRight w:val="0"/>
      <w:marTop w:val="0"/>
      <w:marBottom w:val="0"/>
      <w:divBdr>
        <w:top w:val="none" w:sz="0" w:space="0" w:color="auto"/>
        <w:left w:val="none" w:sz="0" w:space="0" w:color="auto"/>
        <w:bottom w:val="none" w:sz="0" w:space="0" w:color="auto"/>
        <w:right w:val="none" w:sz="0" w:space="0" w:color="auto"/>
      </w:divBdr>
    </w:div>
    <w:div w:id="1012952004">
      <w:bodyDiv w:val="1"/>
      <w:marLeft w:val="0"/>
      <w:marRight w:val="0"/>
      <w:marTop w:val="0"/>
      <w:marBottom w:val="0"/>
      <w:divBdr>
        <w:top w:val="none" w:sz="0" w:space="0" w:color="auto"/>
        <w:left w:val="none" w:sz="0" w:space="0" w:color="auto"/>
        <w:bottom w:val="none" w:sz="0" w:space="0" w:color="auto"/>
        <w:right w:val="none" w:sz="0" w:space="0" w:color="auto"/>
      </w:divBdr>
    </w:div>
    <w:div w:id="1018853258">
      <w:bodyDiv w:val="1"/>
      <w:marLeft w:val="0"/>
      <w:marRight w:val="0"/>
      <w:marTop w:val="0"/>
      <w:marBottom w:val="0"/>
      <w:divBdr>
        <w:top w:val="none" w:sz="0" w:space="0" w:color="auto"/>
        <w:left w:val="none" w:sz="0" w:space="0" w:color="auto"/>
        <w:bottom w:val="none" w:sz="0" w:space="0" w:color="auto"/>
        <w:right w:val="none" w:sz="0" w:space="0" w:color="auto"/>
      </w:divBdr>
    </w:div>
    <w:div w:id="1025794414">
      <w:bodyDiv w:val="1"/>
      <w:marLeft w:val="0"/>
      <w:marRight w:val="0"/>
      <w:marTop w:val="0"/>
      <w:marBottom w:val="0"/>
      <w:divBdr>
        <w:top w:val="none" w:sz="0" w:space="0" w:color="auto"/>
        <w:left w:val="none" w:sz="0" w:space="0" w:color="auto"/>
        <w:bottom w:val="none" w:sz="0" w:space="0" w:color="auto"/>
        <w:right w:val="none" w:sz="0" w:space="0" w:color="auto"/>
      </w:divBdr>
    </w:div>
    <w:div w:id="1066420841">
      <w:bodyDiv w:val="1"/>
      <w:marLeft w:val="0"/>
      <w:marRight w:val="0"/>
      <w:marTop w:val="0"/>
      <w:marBottom w:val="0"/>
      <w:divBdr>
        <w:top w:val="none" w:sz="0" w:space="0" w:color="auto"/>
        <w:left w:val="none" w:sz="0" w:space="0" w:color="auto"/>
        <w:bottom w:val="none" w:sz="0" w:space="0" w:color="auto"/>
        <w:right w:val="none" w:sz="0" w:space="0" w:color="auto"/>
      </w:divBdr>
    </w:div>
    <w:div w:id="1071078720">
      <w:bodyDiv w:val="1"/>
      <w:marLeft w:val="0"/>
      <w:marRight w:val="0"/>
      <w:marTop w:val="0"/>
      <w:marBottom w:val="0"/>
      <w:divBdr>
        <w:top w:val="none" w:sz="0" w:space="0" w:color="auto"/>
        <w:left w:val="none" w:sz="0" w:space="0" w:color="auto"/>
        <w:bottom w:val="none" w:sz="0" w:space="0" w:color="auto"/>
        <w:right w:val="none" w:sz="0" w:space="0" w:color="auto"/>
      </w:divBdr>
    </w:div>
    <w:div w:id="1130901994">
      <w:bodyDiv w:val="1"/>
      <w:marLeft w:val="0"/>
      <w:marRight w:val="0"/>
      <w:marTop w:val="0"/>
      <w:marBottom w:val="0"/>
      <w:divBdr>
        <w:top w:val="none" w:sz="0" w:space="0" w:color="auto"/>
        <w:left w:val="none" w:sz="0" w:space="0" w:color="auto"/>
        <w:bottom w:val="none" w:sz="0" w:space="0" w:color="auto"/>
        <w:right w:val="none" w:sz="0" w:space="0" w:color="auto"/>
      </w:divBdr>
    </w:div>
    <w:div w:id="1164592732">
      <w:bodyDiv w:val="1"/>
      <w:marLeft w:val="0"/>
      <w:marRight w:val="0"/>
      <w:marTop w:val="0"/>
      <w:marBottom w:val="0"/>
      <w:divBdr>
        <w:top w:val="none" w:sz="0" w:space="0" w:color="auto"/>
        <w:left w:val="none" w:sz="0" w:space="0" w:color="auto"/>
        <w:bottom w:val="none" w:sz="0" w:space="0" w:color="auto"/>
        <w:right w:val="none" w:sz="0" w:space="0" w:color="auto"/>
      </w:divBdr>
    </w:div>
    <w:div w:id="1176337621">
      <w:bodyDiv w:val="1"/>
      <w:marLeft w:val="0"/>
      <w:marRight w:val="0"/>
      <w:marTop w:val="0"/>
      <w:marBottom w:val="0"/>
      <w:divBdr>
        <w:top w:val="none" w:sz="0" w:space="0" w:color="auto"/>
        <w:left w:val="none" w:sz="0" w:space="0" w:color="auto"/>
        <w:bottom w:val="none" w:sz="0" w:space="0" w:color="auto"/>
        <w:right w:val="none" w:sz="0" w:space="0" w:color="auto"/>
      </w:divBdr>
    </w:div>
    <w:div w:id="1181746125">
      <w:bodyDiv w:val="1"/>
      <w:marLeft w:val="0"/>
      <w:marRight w:val="0"/>
      <w:marTop w:val="0"/>
      <w:marBottom w:val="0"/>
      <w:divBdr>
        <w:top w:val="none" w:sz="0" w:space="0" w:color="auto"/>
        <w:left w:val="none" w:sz="0" w:space="0" w:color="auto"/>
        <w:bottom w:val="none" w:sz="0" w:space="0" w:color="auto"/>
        <w:right w:val="none" w:sz="0" w:space="0" w:color="auto"/>
      </w:divBdr>
    </w:div>
    <w:div w:id="1225485423">
      <w:bodyDiv w:val="1"/>
      <w:marLeft w:val="0"/>
      <w:marRight w:val="0"/>
      <w:marTop w:val="0"/>
      <w:marBottom w:val="0"/>
      <w:divBdr>
        <w:top w:val="none" w:sz="0" w:space="0" w:color="auto"/>
        <w:left w:val="none" w:sz="0" w:space="0" w:color="auto"/>
        <w:bottom w:val="none" w:sz="0" w:space="0" w:color="auto"/>
        <w:right w:val="none" w:sz="0" w:space="0" w:color="auto"/>
      </w:divBdr>
    </w:div>
    <w:div w:id="1234006378">
      <w:bodyDiv w:val="1"/>
      <w:marLeft w:val="0"/>
      <w:marRight w:val="0"/>
      <w:marTop w:val="0"/>
      <w:marBottom w:val="0"/>
      <w:divBdr>
        <w:top w:val="none" w:sz="0" w:space="0" w:color="auto"/>
        <w:left w:val="none" w:sz="0" w:space="0" w:color="auto"/>
        <w:bottom w:val="none" w:sz="0" w:space="0" w:color="auto"/>
        <w:right w:val="none" w:sz="0" w:space="0" w:color="auto"/>
      </w:divBdr>
    </w:div>
    <w:div w:id="1234394681">
      <w:bodyDiv w:val="1"/>
      <w:marLeft w:val="0"/>
      <w:marRight w:val="0"/>
      <w:marTop w:val="0"/>
      <w:marBottom w:val="0"/>
      <w:divBdr>
        <w:top w:val="none" w:sz="0" w:space="0" w:color="auto"/>
        <w:left w:val="none" w:sz="0" w:space="0" w:color="auto"/>
        <w:bottom w:val="none" w:sz="0" w:space="0" w:color="auto"/>
        <w:right w:val="none" w:sz="0" w:space="0" w:color="auto"/>
      </w:divBdr>
    </w:div>
    <w:div w:id="1243880970">
      <w:bodyDiv w:val="1"/>
      <w:marLeft w:val="0"/>
      <w:marRight w:val="0"/>
      <w:marTop w:val="0"/>
      <w:marBottom w:val="0"/>
      <w:divBdr>
        <w:top w:val="none" w:sz="0" w:space="0" w:color="auto"/>
        <w:left w:val="none" w:sz="0" w:space="0" w:color="auto"/>
        <w:bottom w:val="none" w:sz="0" w:space="0" w:color="auto"/>
        <w:right w:val="none" w:sz="0" w:space="0" w:color="auto"/>
      </w:divBdr>
    </w:div>
    <w:div w:id="1256211490">
      <w:bodyDiv w:val="1"/>
      <w:marLeft w:val="0"/>
      <w:marRight w:val="0"/>
      <w:marTop w:val="0"/>
      <w:marBottom w:val="0"/>
      <w:divBdr>
        <w:top w:val="none" w:sz="0" w:space="0" w:color="auto"/>
        <w:left w:val="none" w:sz="0" w:space="0" w:color="auto"/>
        <w:bottom w:val="none" w:sz="0" w:space="0" w:color="auto"/>
        <w:right w:val="none" w:sz="0" w:space="0" w:color="auto"/>
      </w:divBdr>
    </w:div>
    <w:div w:id="1314718516">
      <w:bodyDiv w:val="1"/>
      <w:marLeft w:val="0"/>
      <w:marRight w:val="0"/>
      <w:marTop w:val="0"/>
      <w:marBottom w:val="0"/>
      <w:divBdr>
        <w:top w:val="none" w:sz="0" w:space="0" w:color="auto"/>
        <w:left w:val="none" w:sz="0" w:space="0" w:color="auto"/>
        <w:bottom w:val="none" w:sz="0" w:space="0" w:color="auto"/>
        <w:right w:val="none" w:sz="0" w:space="0" w:color="auto"/>
      </w:divBdr>
    </w:div>
    <w:div w:id="1318611642">
      <w:bodyDiv w:val="1"/>
      <w:marLeft w:val="0"/>
      <w:marRight w:val="0"/>
      <w:marTop w:val="0"/>
      <w:marBottom w:val="0"/>
      <w:divBdr>
        <w:top w:val="none" w:sz="0" w:space="0" w:color="auto"/>
        <w:left w:val="none" w:sz="0" w:space="0" w:color="auto"/>
        <w:bottom w:val="none" w:sz="0" w:space="0" w:color="auto"/>
        <w:right w:val="none" w:sz="0" w:space="0" w:color="auto"/>
      </w:divBdr>
      <w:divsChild>
        <w:div w:id="496120716">
          <w:marLeft w:val="0"/>
          <w:marRight w:val="0"/>
          <w:marTop w:val="0"/>
          <w:marBottom w:val="0"/>
          <w:divBdr>
            <w:top w:val="none" w:sz="0" w:space="0" w:color="auto"/>
            <w:left w:val="none" w:sz="0" w:space="0" w:color="auto"/>
            <w:bottom w:val="none" w:sz="0" w:space="0" w:color="auto"/>
            <w:right w:val="none" w:sz="0" w:space="0" w:color="auto"/>
          </w:divBdr>
          <w:divsChild>
            <w:div w:id="683635797">
              <w:marLeft w:val="0"/>
              <w:marRight w:val="0"/>
              <w:marTop w:val="0"/>
              <w:marBottom w:val="0"/>
              <w:divBdr>
                <w:top w:val="none" w:sz="0" w:space="0" w:color="auto"/>
                <w:left w:val="none" w:sz="0" w:space="0" w:color="auto"/>
                <w:bottom w:val="none" w:sz="0" w:space="0" w:color="auto"/>
                <w:right w:val="none" w:sz="0" w:space="0" w:color="auto"/>
              </w:divBdr>
            </w:div>
          </w:divsChild>
        </w:div>
        <w:div w:id="500897068">
          <w:marLeft w:val="0"/>
          <w:marRight w:val="0"/>
          <w:marTop w:val="0"/>
          <w:marBottom w:val="0"/>
          <w:divBdr>
            <w:top w:val="none" w:sz="0" w:space="0" w:color="auto"/>
            <w:left w:val="none" w:sz="0" w:space="0" w:color="auto"/>
            <w:bottom w:val="none" w:sz="0" w:space="0" w:color="auto"/>
            <w:right w:val="none" w:sz="0" w:space="0" w:color="auto"/>
          </w:divBdr>
          <w:divsChild>
            <w:div w:id="5661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33">
      <w:bodyDiv w:val="1"/>
      <w:marLeft w:val="0"/>
      <w:marRight w:val="0"/>
      <w:marTop w:val="0"/>
      <w:marBottom w:val="0"/>
      <w:divBdr>
        <w:top w:val="none" w:sz="0" w:space="0" w:color="auto"/>
        <w:left w:val="none" w:sz="0" w:space="0" w:color="auto"/>
        <w:bottom w:val="none" w:sz="0" w:space="0" w:color="auto"/>
        <w:right w:val="none" w:sz="0" w:space="0" w:color="auto"/>
      </w:divBdr>
    </w:div>
    <w:div w:id="1341465913">
      <w:bodyDiv w:val="1"/>
      <w:marLeft w:val="0"/>
      <w:marRight w:val="0"/>
      <w:marTop w:val="0"/>
      <w:marBottom w:val="0"/>
      <w:divBdr>
        <w:top w:val="none" w:sz="0" w:space="0" w:color="auto"/>
        <w:left w:val="none" w:sz="0" w:space="0" w:color="auto"/>
        <w:bottom w:val="none" w:sz="0" w:space="0" w:color="auto"/>
        <w:right w:val="none" w:sz="0" w:space="0" w:color="auto"/>
      </w:divBdr>
    </w:div>
    <w:div w:id="1356299979">
      <w:bodyDiv w:val="1"/>
      <w:marLeft w:val="0"/>
      <w:marRight w:val="0"/>
      <w:marTop w:val="0"/>
      <w:marBottom w:val="0"/>
      <w:divBdr>
        <w:top w:val="none" w:sz="0" w:space="0" w:color="auto"/>
        <w:left w:val="none" w:sz="0" w:space="0" w:color="auto"/>
        <w:bottom w:val="none" w:sz="0" w:space="0" w:color="auto"/>
        <w:right w:val="none" w:sz="0" w:space="0" w:color="auto"/>
      </w:divBdr>
    </w:div>
    <w:div w:id="1376005574">
      <w:bodyDiv w:val="1"/>
      <w:marLeft w:val="0"/>
      <w:marRight w:val="0"/>
      <w:marTop w:val="0"/>
      <w:marBottom w:val="0"/>
      <w:divBdr>
        <w:top w:val="none" w:sz="0" w:space="0" w:color="auto"/>
        <w:left w:val="none" w:sz="0" w:space="0" w:color="auto"/>
        <w:bottom w:val="none" w:sz="0" w:space="0" w:color="auto"/>
        <w:right w:val="none" w:sz="0" w:space="0" w:color="auto"/>
      </w:divBdr>
    </w:div>
    <w:div w:id="1379891968">
      <w:bodyDiv w:val="1"/>
      <w:marLeft w:val="0"/>
      <w:marRight w:val="0"/>
      <w:marTop w:val="0"/>
      <w:marBottom w:val="0"/>
      <w:divBdr>
        <w:top w:val="none" w:sz="0" w:space="0" w:color="auto"/>
        <w:left w:val="none" w:sz="0" w:space="0" w:color="auto"/>
        <w:bottom w:val="none" w:sz="0" w:space="0" w:color="auto"/>
        <w:right w:val="none" w:sz="0" w:space="0" w:color="auto"/>
      </w:divBdr>
    </w:div>
    <w:div w:id="1390347260">
      <w:bodyDiv w:val="1"/>
      <w:marLeft w:val="0"/>
      <w:marRight w:val="0"/>
      <w:marTop w:val="0"/>
      <w:marBottom w:val="0"/>
      <w:divBdr>
        <w:top w:val="none" w:sz="0" w:space="0" w:color="auto"/>
        <w:left w:val="none" w:sz="0" w:space="0" w:color="auto"/>
        <w:bottom w:val="none" w:sz="0" w:space="0" w:color="auto"/>
        <w:right w:val="none" w:sz="0" w:space="0" w:color="auto"/>
      </w:divBdr>
    </w:div>
    <w:div w:id="1397360626">
      <w:bodyDiv w:val="1"/>
      <w:marLeft w:val="0"/>
      <w:marRight w:val="0"/>
      <w:marTop w:val="0"/>
      <w:marBottom w:val="0"/>
      <w:divBdr>
        <w:top w:val="none" w:sz="0" w:space="0" w:color="auto"/>
        <w:left w:val="none" w:sz="0" w:space="0" w:color="auto"/>
        <w:bottom w:val="none" w:sz="0" w:space="0" w:color="auto"/>
        <w:right w:val="none" w:sz="0" w:space="0" w:color="auto"/>
      </w:divBdr>
    </w:div>
    <w:div w:id="1404983356">
      <w:bodyDiv w:val="1"/>
      <w:marLeft w:val="0"/>
      <w:marRight w:val="0"/>
      <w:marTop w:val="0"/>
      <w:marBottom w:val="0"/>
      <w:divBdr>
        <w:top w:val="none" w:sz="0" w:space="0" w:color="auto"/>
        <w:left w:val="none" w:sz="0" w:space="0" w:color="auto"/>
        <w:bottom w:val="none" w:sz="0" w:space="0" w:color="auto"/>
        <w:right w:val="none" w:sz="0" w:space="0" w:color="auto"/>
      </w:divBdr>
    </w:div>
    <w:div w:id="1411808420">
      <w:bodyDiv w:val="1"/>
      <w:marLeft w:val="0"/>
      <w:marRight w:val="0"/>
      <w:marTop w:val="0"/>
      <w:marBottom w:val="0"/>
      <w:divBdr>
        <w:top w:val="none" w:sz="0" w:space="0" w:color="auto"/>
        <w:left w:val="none" w:sz="0" w:space="0" w:color="auto"/>
        <w:bottom w:val="none" w:sz="0" w:space="0" w:color="auto"/>
        <w:right w:val="none" w:sz="0" w:space="0" w:color="auto"/>
      </w:divBdr>
    </w:div>
    <w:div w:id="1415128487">
      <w:bodyDiv w:val="1"/>
      <w:marLeft w:val="0"/>
      <w:marRight w:val="0"/>
      <w:marTop w:val="0"/>
      <w:marBottom w:val="0"/>
      <w:divBdr>
        <w:top w:val="none" w:sz="0" w:space="0" w:color="auto"/>
        <w:left w:val="none" w:sz="0" w:space="0" w:color="auto"/>
        <w:bottom w:val="none" w:sz="0" w:space="0" w:color="auto"/>
        <w:right w:val="none" w:sz="0" w:space="0" w:color="auto"/>
      </w:divBdr>
    </w:div>
    <w:div w:id="1451707242">
      <w:bodyDiv w:val="1"/>
      <w:marLeft w:val="0"/>
      <w:marRight w:val="0"/>
      <w:marTop w:val="0"/>
      <w:marBottom w:val="0"/>
      <w:divBdr>
        <w:top w:val="none" w:sz="0" w:space="0" w:color="auto"/>
        <w:left w:val="none" w:sz="0" w:space="0" w:color="auto"/>
        <w:bottom w:val="none" w:sz="0" w:space="0" w:color="auto"/>
        <w:right w:val="none" w:sz="0" w:space="0" w:color="auto"/>
      </w:divBdr>
    </w:div>
    <w:div w:id="1474521341">
      <w:bodyDiv w:val="1"/>
      <w:marLeft w:val="0"/>
      <w:marRight w:val="0"/>
      <w:marTop w:val="0"/>
      <w:marBottom w:val="0"/>
      <w:divBdr>
        <w:top w:val="none" w:sz="0" w:space="0" w:color="auto"/>
        <w:left w:val="none" w:sz="0" w:space="0" w:color="auto"/>
        <w:bottom w:val="none" w:sz="0" w:space="0" w:color="auto"/>
        <w:right w:val="none" w:sz="0" w:space="0" w:color="auto"/>
      </w:divBdr>
    </w:div>
    <w:div w:id="1476558591">
      <w:bodyDiv w:val="1"/>
      <w:marLeft w:val="0"/>
      <w:marRight w:val="0"/>
      <w:marTop w:val="0"/>
      <w:marBottom w:val="0"/>
      <w:divBdr>
        <w:top w:val="none" w:sz="0" w:space="0" w:color="auto"/>
        <w:left w:val="none" w:sz="0" w:space="0" w:color="auto"/>
        <w:bottom w:val="none" w:sz="0" w:space="0" w:color="auto"/>
        <w:right w:val="none" w:sz="0" w:space="0" w:color="auto"/>
      </w:divBdr>
    </w:div>
    <w:div w:id="1476990149">
      <w:bodyDiv w:val="1"/>
      <w:marLeft w:val="0"/>
      <w:marRight w:val="0"/>
      <w:marTop w:val="0"/>
      <w:marBottom w:val="0"/>
      <w:divBdr>
        <w:top w:val="none" w:sz="0" w:space="0" w:color="auto"/>
        <w:left w:val="none" w:sz="0" w:space="0" w:color="auto"/>
        <w:bottom w:val="none" w:sz="0" w:space="0" w:color="auto"/>
        <w:right w:val="none" w:sz="0" w:space="0" w:color="auto"/>
      </w:divBdr>
    </w:div>
    <w:div w:id="1500458738">
      <w:bodyDiv w:val="1"/>
      <w:marLeft w:val="0"/>
      <w:marRight w:val="0"/>
      <w:marTop w:val="0"/>
      <w:marBottom w:val="0"/>
      <w:divBdr>
        <w:top w:val="none" w:sz="0" w:space="0" w:color="auto"/>
        <w:left w:val="none" w:sz="0" w:space="0" w:color="auto"/>
        <w:bottom w:val="none" w:sz="0" w:space="0" w:color="auto"/>
        <w:right w:val="none" w:sz="0" w:space="0" w:color="auto"/>
      </w:divBdr>
    </w:div>
    <w:div w:id="1514492346">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5777210">
      <w:bodyDiv w:val="1"/>
      <w:marLeft w:val="0"/>
      <w:marRight w:val="0"/>
      <w:marTop w:val="0"/>
      <w:marBottom w:val="0"/>
      <w:divBdr>
        <w:top w:val="none" w:sz="0" w:space="0" w:color="auto"/>
        <w:left w:val="none" w:sz="0" w:space="0" w:color="auto"/>
        <w:bottom w:val="none" w:sz="0" w:space="0" w:color="auto"/>
        <w:right w:val="none" w:sz="0" w:space="0" w:color="auto"/>
      </w:divBdr>
    </w:div>
    <w:div w:id="1545947545">
      <w:bodyDiv w:val="1"/>
      <w:marLeft w:val="0"/>
      <w:marRight w:val="0"/>
      <w:marTop w:val="0"/>
      <w:marBottom w:val="0"/>
      <w:divBdr>
        <w:top w:val="none" w:sz="0" w:space="0" w:color="auto"/>
        <w:left w:val="none" w:sz="0" w:space="0" w:color="auto"/>
        <w:bottom w:val="none" w:sz="0" w:space="0" w:color="auto"/>
        <w:right w:val="none" w:sz="0" w:space="0" w:color="auto"/>
      </w:divBdr>
    </w:div>
    <w:div w:id="1550066288">
      <w:bodyDiv w:val="1"/>
      <w:marLeft w:val="0"/>
      <w:marRight w:val="0"/>
      <w:marTop w:val="0"/>
      <w:marBottom w:val="0"/>
      <w:divBdr>
        <w:top w:val="none" w:sz="0" w:space="0" w:color="auto"/>
        <w:left w:val="none" w:sz="0" w:space="0" w:color="auto"/>
        <w:bottom w:val="none" w:sz="0" w:space="0" w:color="auto"/>
        <w:right w:val="none" w:sz="0" w:space="0" w:color="auto"/>
      </w:divBdr>
    </w:div>
    <w:div w:id="1584946563">
      <w:bodyDiv w:val="1"/>
      <w:marLeft w:val="0"/>
      <w:marRight w:val="0"/>
      <w:marTop w:val="0"/>
      <w:marBottom w:val="0"/>
      <w:divBdr>
        <w:top w:val="none" w:sz="0" w:space="0" w:color="auto"/>
        <w:left w:val="none" w:sz="0" w:space="0" w:color="auto"/>
        <w:bottom w:val="none" w:sz="0" w:space="0" w:color="auto"/>
        <w:right w:val="none" w:sz="0" w:space="0" w:color="auto"/>
      </w:divBdr>
    </w:div>
    <w:div w:id="1598322645">
      <w:bodyDiv w:val="1"/>
      <w:marLeft w:val="0"/>
      <w:marRight w:val="0"/>
      <w:marTop w:val="0"/>
      <w:marBottom w:val="0"/>
      <w:divBdr>
        <w:top w:val="none" w:sz="0" w:space="0" w:color="auto"/>
        <w:left w:val="none" w:sz="0" w:space="0" w:color="auto"/>
        <w:bottom w:val="none" w:sz="0" w:space="0" w:color="auto"/>
        <w:right w:val="none" w:sz="0" w:space="0" w:color="auto"/>
      </w:divBdr>
    </w:div>
    <w:div w:id="1601832399">
      <w:bodyDiv w:val="1"/>
      <w:marLeft w:val="0"/>
      <w:marRight w:val="0"/>
      <w:marTop w:val="0"/>
      <w:marBottom w:val="0"/>
      <w:divBdr>
        <w:top w:val="none" w:sz="0" w:space="0" w:color="auto"/>
        <w:left w:val="none" w:sz="0" w:space="0" w:color="auto"/>
        <w:bottom w:val="none" w:sz="0" w:space="0" w:color="auto"/>
        <w:right w:val="none" w:sz="0" w:space="0" w:color="auto"/>
      </w:divBdr>
    </w:div>
    <w:div w:id="1604341820">
      <w:bodyDiv w:val="1"/>
      <w:marLeft w:val="0"/>
      <w:marRight w:val="0"/>
      <w:marTop w:val="0"/>
      <w:marBottom w:val="0"/>
      <w:divBdr>
        <w:top w:val="none" w:sz="0" w:space="0" w:color="auto"/>
        <w:left w:val="none" w:sz="0" w:space="0" w:color="auto"/>
        <w:bottom w:val="none" w:sz="0" w:space="0" w:color="auto"/>
        <w:right w:val="none" w:sz="0" w:space="0" w:color="auto"/>
      </w:divBdr>
    </w:div>
    <w:div w:id="1605453618">
      <w:bodyDiv w:val="1"/>
      <w:marLeft w:val="0"/>
      <w:marRight w:val="0"/>
      <w:marTop w:val="0"/>
      <w:marBottom w:val="0"/>
      <w:divBdr>
        <w:top w:val="none" w:sz="0" w:space="0" w:color="auto"/>
        <w:left w:val="none" w:sz="0" w:space="0" w:color="auto"/>
        <w:bottom w:val="none" w:sz="0" w:space="0" w:color="auto"/>
        <w:right w:val="none" w:sz="0" w:space="0" w:color="auto"/>
      </w:divBdr>
    </w:div>
    <w:div w:id="1633636928">
      <w:bodyDiv w:val="1"/>
      <w:marLeft w:val="0"/>
      <w:marRight w:val="0"/>
      <w:marTop w:val="0"/>
      <w:marBottom w:val="0"/>
      <w:divBdr>
        <w:top w:val="none" w:sz="0" w:space="0" w:color="auto"/>
        <w:left w:val="none" w:sz="0" w:space="0" w:color="auto"/>
        <w:bottom w:val="none" w:sz="0" w:space="0" w:color="auto"/>
        <w:right w:val="none" w:sz="0" w:space="0" w:color="auto"/>
      </w:divBdr>
    </w:div>
    <w:div w:id="1665552253">
      <w:bodyDiv w:val="1"/>
      <w:marLeft w:val="0"/>
      <w:marRight w:val="0"/>
      <w:marTop w:val="0"/>
      <w:marBottom w:val="0"/>
      <w:divBdr>
        <w:top w:val="none" w:sz="0" w:space="0" w:color="auto"/>
        <w:left w:val="none" w:sz="0" w:space="0" w:color="auto"/>
        <w:bottom w:val="none" w:sz="0" w:space="0" w:color="auto"/>
        <w:right w:val="none" w:sz="0" w:space="0" w:color="auto"/>
      </w:divBdr>
    </w:div>
    <w:div w:id="1667593757">
      <w:bodyDiv w:val="1"/>
      <w:marLeft w:val="0"/>
      <w:marRight w:val="0"/>
      <w:marTop w:val="0"/>
      <w:marBottom w:val="0"/>
      <w:divBdr>
        <w:top w:val="none" w:sz="0" w:space="0" w:color="auto"/>
        <w:left w:val="none" w:sz="0" w:space="0" w:color="auto"/>
        <w:bottom w:val="none" w:sz="0" w:space="0" w:color="auto"/>
        <w:right w:val="none" w:sz="0" w:space="0" w:color="auto"/>
      </w:divBdr>
    </w:div>
    <w:div w:id="1668437980">
      <w:bodyDiv w:val="1"/>
      <w:marLeft w:val="0"/>
      <w:marRight w:val="0"/>
      <w:marTop w:val="0"/>
      <w:marBottom w:val="0"/>
      <w:divBdr>
        <w:top w:val="none" w:sz="0" w:space="0" w:color="auto"/>
        <w:left w:val="none" w:sz="0" w:space="0" w:color="auto"/>
        <w:bottom w:val="none" w:sz="0" w:space="0" w:color="auto"/>
        <w:right w:val="none" w:sz="0" w:space="0" w:color="auto"/>
      </w:divBdr>
    </w:div>
    <w:div w:id="1691178342">
      <w:bodyDiv w:val="1"/>
      <w:marLeft w:val="0"/>
      <w:marRight w:val="0"/>
      <w:marTop w:val="0"/>
      <w:marBottom w:val="0"/>
      <w:divBdr>
        <w:top w:val="none" w:sz="0" w:space="0" w:color="auto"/>
        <w:left w:val="none" w:sz="0" w:space="0" w:color="auto"/>
        <w:bottom w:val="none" w:sz="0" w:space="0" w:color="auto"/>
        <w:right w:val="none" w:sz="0" w:space="0" w:color="auto"/>
      </w:divBdr>
    </w:div>
    <w:div w:id="1692218195">
      <w:bodyDiv w:val="1"/>
      <w:marLeft w:val="0"/>
      <w:marRight w:val="0"/>
      <w:marTop w:val="0"/>
      <w:marBottom w:val="0"/>
      <w:divBdr>
        <w:top w:val="none" w:sz="0" w:space="0" w:color="auto"/>
        <w:left w:val="none" w:sz="0" w:space="0" w:color="auto"/>
        <w:bottom w:val="none" w:sz="0" w:space="0" w:color="auto"/>
        <w:right w:val="none" w:sz="0" w:space="0" w:color="auto"/>
      </w:divBdr>
    </w:div>
    <w:div w:id="1722289985">
      <w:bodyDiv w:val="1"/>
      <w:marLeft w:val="0"/>
      <w:marRight w:val="0"/>
      <w:marTop w:val="0"/>
      <w:marBottom w:val="0"/>
      <w:divBdr>
        <w:top w:val="none" w:sz="0" w:space="0" w:color="auto"/>
        <w:left w:val="none" w:sz="0" w:space="0" w:color="auto"/>
        <w:bottom w:val="none" w:sz="0" w:space="0" w:color="auto"/>
        <w:right w:val="none" w:sz="0" w:space="0" w:color="auto"/>
      </w:divBdr>
    </w:div>
    <w:div w:id="1740899522">
      <w:bodyDiv w:val="1"/>
      <w:marLeft w:val="0"/>
      <w:marRight w:val="0"/>
      <w:marTop w:val="0"/>
      <w:marBottom w:val="0"/>
      <w:divBdr>
        <w:top w:val="none" w:sz="0" w:space="0" w:color="auto"/>
        <w:left w:val="none" w:sz="0" w:space="0" w:color="auto"/>
        <w:bottom w:val="none" w:sz="0" w:space="0" w:color="auto"/>
        <w:right w:val="none" w:sz="0" w:space="0" w:color="auto"/>
      </w:divBdr>
    </w:div>
    <w:div w:id="1770542355">
      <w:bodyDiv w:val="1"/>
      <w:marLeft w:val="0"/>
      <w:marRight w:val="0"/>
      <w:marTop w:val="0"/>
      <w:marBottom w:val="0"/>
      <w:divBdr>
        <w:top w:val="none" w:sz="0" w:space="0" w:color="auto"/>
        <w:left w:val="none" w:sz="0" w:space="0" w:color="auto"/>
        <w:bottom w:val="none" w:sz="0" w:space="0" w:color="auto"/>
        <w:right w:val="none" w:sz="0" w:space="0" w:color="auto"/>
      </w:divBdr>
    </w:div>
    <w:div w:id="1771001583">
      <w:bodyDiv w:val="1"/>
      <w:marLeft w:val="0"/>
      <w:marRight w:val="0"/>
      <w:marTop w:val="0"/>
      <w:marBottom w:val="0"/>
      <w:divBdr>
        <w:top w:val="none" w:sz="0" w:space="0" w:color="auto"/>
        <w:left w:val="none" w:sz="0" w:space="0" w:color="auto"/>
        <w:bottom w:val="none" w:sz="0" w:space="0" w:color="auto"/>
        <w:right w:val="none" w:sz="0" w:space="0" w:color="auto"/>
      </w:divBdr>
    </w:div>
    <w:div w:id="1803115449">
      <w:bodyDiv w:val="1"/>
      <w:marLeft w:val="0"/>
      <w:marRight w:val="0"/>
      <w:marTop w:val="0"/>
      <w:marBottom w:val="0"/>
      <w:divBdr>
        <w:top w:val="none" w:sz="0" w:space="0" w:color="auto"/>
        <w:left w:val="none" w:sz="0" w:space="0" w:color="auto"/>
        <w:bottom w:val="none" w:sz="0" w:space="0" w:color="auto"/>
        <w:right w:val="none" w:sz="0" w:space="0" w:color="auto"/>
      </w:divBdr>
    </w:div>
    <w:div w:id="1821384091">
      <w:bodyDiv w:val="1"/>
      <w:marLeft w:val="0"/>
      <w:marRight w:val="0"/>
      <w:marTop w:val="0"/>
      <w:marBottom w:val="0"/>
      <w:divBdr>
        <w:top w:val="none" w:sz="0" w:space="0" w:color="auto"/>
        <w:left w:val="none" w:sz="0" w:space="0" w:color="auto"/>
        <w:bottom w:val="none" w:sz="0" w:space="0" w:color="auto"/>
        <w:right w:val="none" w:sz="0" w:space="0" w:color="auto"/>
      </w:divBdr>
    </w:div>
    <w:div w:id="1821846532">
      <w:bodyDiv w:val="1"/>
      <w:marLeft w:val="0"/>
      <w:marRight w:val="0"/>
      <w:marTop w:val="0"/>
      <w:marBottom w:val="0"/>
      <w:divBdr>
        <w:top w:val="none" w:sz="0" w:space="0" w:color="auto"/>
        <w:left w:val="none" w:sz="0" w:space="0" w:color="auto"/>
        <w:bottom w:val="none" w:sz="0" w:space="0" w:color="auto"/>
        <w:right w:val="none" w:sz="0" w:space="0" w:color="auto"/>
      </w:divBdr>
    </w:div>
    <w:div w:id="1825394020">
      <w:bodyDiv w:val="1"/>
      <w:marLeft w:val="0"/>
      <w:marRight w:val="0"/>
      <w:marTop w:val="0"/>
      <w:marBottom w:val="0"/>
      <w:divBdr>
        <w:top w:val="none" w:sz="0" w:space="0" w:color="auto"/>
        <w:left w:val="none" w:sz="0" w:space="0" w:color="auto"/>
        <w:bottom w:val="none" w:sz="0" w:space="0" w:color="auto"/>
        <w:right w:val="none" w:sz="0" w:space="0" w:color="auto"/>
      </w:divBdr>
    </w:div>
    <w:div w:id="1862041128">
      <w:bodyDiv w:val="1"/>
      <w:marLeft w:val="0"/>
      <w:marRight w:val="0"/>
      <w:marTop w:val="0"/>
      <w:marBottom w:val="0"/>
      <w:divBdr>
        <w:top w:val="none" w:sz="0" w:space="0" w:color="auto"/>
        <w:left w:val="none" w:sz="0" w:space="0" w:color="auto"/>
        <w:bottom w:val="none" w:sz="0" w:space="0" w:color="auto"/>
        <w:right w:val="none" w:sz="0" w:space="0" w:color="auto"/>
      </w:divBdr>
      <w:divsChild>
        <w:div w:id="9796576">
          <w:marLeft w:val="0"/>
          <w:marRight w:val="0"/>
          <w:marTop w:val="0"/>
          <w:marBottom w:val="0"/>
          <w:divBdr>
            <w:top w:val="none" w:sz="0" w:space="0" w:color="auto"/>
            <w:left w:val="none" w:sz="0" w:space="0" w:color="auto"/>
            <w:bottom w:val="none" w:sz="0" w:space="0" w:color="auto"/>
            <w:right w:val="none" w:sz="0" w:space="0" w:color="auto"/>
          </w:divBdr>
        </w:div>
        <w:div w:id="51466264">
          <w:marLeft w:val="0"/>
          <w:marRight w:val="0"/>
          <w:marTop w:val="0"/>
          <w:marBottom w:val="0"/>
          <w:divBdr>
            <w:top w:val="none" w:sz="0" w:space="0" w:color="auto"/>
            <w:left w:val="none" w:sz="0" w:space="0" w:color="auto"/>
            <w:bottom w:val="none" w:sz="0" w:space="0" w:color="auto"/>
            <w:right w:val="none" w:sz="0" w:space="0" w:color="auto"/>
          </w:divBdr>
        </w:div>
        <w:div w:id="66151508">
          <w:marLeft w:val="0"/>
          <w:marRight w:val="0"/>
          <w:marTop w:val="0"/>
          <w:marBottom w:val="0"/>
          <w:divBdr>
            <w:top w:val="none" w:sz="0" w:space="0" w:color="auto"/>
            <w:left w:val="none" w:sz="0" w:space="0" w:color="auto"/>
            <w:bottom w:val="none" w:sz="0" w:space="0" w:color="auto"/>
            <w:right w:val="none" w:sz="0" w:space="0" w:color="auto"/>
          </w:divBdr>
        </w:div>
        <w:div w:id="205066142">
          <w:marLeft w:val="0"/>
          <w:marRight w:val="0"/>
          <w:marTop w:val="0"/>
          <w:marBottom w:val="0"/>
          <w:divBdr>
            <w:top w:val="none" w:sz="0" w:space="0" w:color="auto"/>
            <w:left w:val="none" w:sz="0" w:space="0" w:color="auto"/>
            <w:bottom w:val="none" w:sz="0" w:space="0" w:color="auto"/>
            <w:right w:val="none" w:sz="0" w:space="0" w:color="auto"/>
          </w:divBdr>
        </w:div>
        <w:div w:id="260575158">
          <w:marLeft w:val="0"/>
          <w:marRight w:val="0"/>
          <w:marTop w:val="0"/>
          <w:marBottom w:val="0"/>
          <w:divBdr>
            <w:top w:val="none" w:sz="0" w:space="0" w:color="auto"/>
            <w:left w:val="none" w:sz="0" w:space="0" w:color="auto"/>
            <w:bottom w:val="none" w:sz="0" w:space="0" w:color="auto"/>
            <w:right w:val="none" w:sz="0" w:space="0" w:color="auto"/>
          </w:divBdr>
        </w:div>
        <w:div w:id="289869020">
          <w:marLeft w:val="0"/>
          <w:marRight w:val="0"/>
          <w:marTop w:val="0"/>
          <w:marBottom w:val="0"/>
          <w:divBdr>
            <w:top w:val="none" w:sz="0" w:space="0" w:color="auto"/>
            <w:left w:val="none" w:sz="0" w:space="0" w:color="auto"/>
            <w:bottom w:val="none" w:sz="0" w:space="0" w:color="auto"/>
            <w:right w:val="none" w:sz="0" w:space="0" w:color="auto"/>
          </w:divBdr>
        </w:div>
        <w:div w:id="299459240">
          <w:marLeft w:val="0"/>
          <w:marRight w:val="0"/>
          <w:marTop w:val="0"/>
          <w:marBottom w:val="0"/>
          <w:divBdr>
            <w:top w:val="none" w:sz="0" w:space="0" w:color="auto"/>
            <w:left w:val="none" w:sz="0" w:space="0" w:color="auto"/>
            <w:bottom w:val="none" w:sz="0" w:space="0" w:color="auto"/>
            <w:right w:val="none" w:sz="0" w:space="0" w:color="auto"/>
          </w:divBdr>
        </w:div>
        <w:div w:id="346103714">
          <w:marLeft w:val="0"/>
          <w:marRight w:val="0"/>
          <w:marTop w:val="0"/>
          <w:marBottom w:val="0"/>
          <w:divBdr>
            <w:top w:val="none" w:sz="0" w:space="0" w:color="auto"/>
            <w:left w:val="none" w:sz="0" w:space="0" w:color="auto"/>
            <w:bottom w:val="none" w:sz="0" w:space="0" w:color="auto"/>
            <w:right w:val="none" w:sz="0" w:space="0" w:color="auto"/>
          </w:divBdr>
        </w:div>
        <w:div w:id="375937487">
          <w:marLeft w:val="0"/>
          <w:marRight w:val="0"/>
          <w:marTop w:val="0"/>
          <w:marBottom w:val="0"/>
          <w:divBdr>
            <w:top w:val="none" w:sz="0" w:space="0" w:color="auto"/>
            <w:left w:val="none" w:sz="0" w:space="0" w:color="auto"/>
            <w:bottom w:val="none" w:sz="0" w:space="0" w:color="auto"/>
            <w:right w:val="none" w:sz="0" w:space="0" w:color="auto"/>
          </w:divBdr>
        </w:div>
        <w:div w:id="469250211">
          <w:marLeft w:val="0"/>
          <w:marRight w:val="0"/>
          <w:marTop w:val="0"/>
          <w:marBottom w:val="0"/>
          <w:divBdr>
            <w:top w:val="none" w:sz="0" w:space="0" w:color="auto"/>
            <w:left w:val="none" w:sz="0" w:space="0" w:color="auto"/>
            <w:bottom w:val="none" w:sz="0" w:space="0" w:color="auto"/>
            <w:right w:val="none" w:sz="0" w:space="0" w:color="auto"/>
          </w:divBdr>
        </w:div>
        <w:div w:id="511189994">
          <w:marLeft w:val="0"/>
          <w:marRight w:val="0"/>
          <w:marTop w:val="0"/>
          <w:marBottom w:val="0"/>
          <w:divBdr>
            <w:top w:val="none" w:sz="0" w:space="0" w:color="auto"/>
            <w:left w:val="none" w:sz="0" w:space="0" w:color="auto"/>
            <w:bottom w:val="none" w:sz="0" w:space="0" w:color="auto"/>
            <w:right w:val="none" w:sz="0" w:space="0" w:color="auto"/>
          </w:divBdr>
        </w:div>
        <w:div w:id="691761767">
          <w:marLeft w:val="0"/>
          <w:marRight w:val="0"/>
          <w:marTop w:val="0"/>
          <w:marBottom w:val="0"/>
          <w:divBdr>
            <w:top w:val="none" w:sz="0" w:space="0" w:color="auto"/>
            <w:left w:val="none" w:sz="0" w:space="0" w:color="auto"/>
            <w:bottom w:val="none" w:sz="0" w:space="0" w:color="auto"/>
            <w:right w:val="none" w:sz="0" w:space="0" w:color="auto"/>
          </w:divBdr>
        </w:div>
        <w:div w:id="775559986">
          <w:marLeft w:val="0"/>
          <w:marRight w:val="0"/>
          <w:marTop w:val="0"/>
          <w:marBottom w:val="0"/>
          <w:divBdr>
            <w:top w:val="none" w:sz="0" w:space="0" w:color="auto"/>
            <w:left w:val="none" w:sz="0" w:space="0" w:color="auto"/>
            <w:bottom w:val="none" w:sz="0" w:space="0" w:color="auto"/>
            <w:right w:val="none" w:sz="0" w:space="0" w:color="auto"/>
          </w:divBdr>
        </w:div>
        <w:div w:id="868876395">
          <w:marLeft w:val="0"/>
          <w:marRight w:val="0"/>
          <w:marTop w:val="0"/>
          <w:marBottom w:val="0"/>
          <w:divBdr>
            <w:top w:val="none" w:sz="0" w:space="0" w:color="auto"/>
            <w:left w:val="none" w:sz="0" w:space="0" w:color="auto"/>
            <w:bottom w:val="none" w:sz="0" w:space="0" w:color="auto"/>
            <w:right w:val="none" w:sz="0" w:space="0" w:color="auto"/>
          </w:divBdr>
        </w:div>
        <w:div w:id="886257797">
          <w:marLeft w:val="0"/>
          <w:marRight w:val="0"/>
          <w:marTop w:val="0"/>
          <w:marBottom w:val="0"/>
          <w:divBdr>
            <w:top w:val="none" w:sz="0" w:space="0" w:color="auto"/>
            <w:left w:val="none" w:sz="0" w:space="0" w:color="auto"/>
            <w:bottom w:val="none" w:sz="0" w:space="0" w:color="auto"/>
            <w:right w:val="none" w:sz="0" w:space="0" w:color="auto"/>
          </w:divBdr>
        </w:div>
        <w:div w:id="916667817">
          <w:marLeft w:val="0"/>
          <w:marRight w:val="0"/>
          <w:marTop w:val="0"/>
          <w:marBottom w:val="0"/>
          <w:divBdr>
            <w:top w:val="none" w:sz="0" w:space="0" w:color="auto"/>
            <w:left w:val="none" w:sz="0" w:space="0" w:color="auto"/>
            <w:bottom w:val="none" w:sz="0" w:space="0" w:color="auto"/>
            <w:right w:val="none" w:sz="0" w:space="0" w:color="auto"/>
          </w:divBdr>
        </w:div>
        <w:div w:id="950697679">
          <w:marLeft w:val="0"/>
          <w:marRight w:val="0"/>
          <w:marTop w:val="0"/>
          <w:marBottom w:val="0"/>
          <w:divBdr>
            <w:top w:val="none" w:sz="0" w:space="0" w:color="auto"/>
            <w:left w:val="none" w:sz="0" w:space="0" w:color="auto"/>
            <w:bottom w:val="none" w:sz="0" w:space="0" w:color="auto"/>
            <w:right w:val="none" w:sz="0" w:space="0" w:color="auto"/>
          </w:divBdr>
        </w:div>
        <w:div w:id="1113548930">
          <w:marLeft w:val="0"/>
          <w:marRight w:val="0"/>
          <w:marTop w:val="0"/>
          <w:marBottom w:val="0"/>
          <w:divBdr>
            <w:top w:val="none" w:sz="0" w:space="0" w:color="auto"/>
            <w:left w:val="none" w:sz="0" w:space="0" w:color="auto"/>
            <w:bottom w:val="none" w:sz="0" w:space="0" w:color="auto"/>
            <w:right w:val="none" w:sz="0" w:space="0" w:color="auto"/>
          </w:divBdr>
        </w:div>
        <w:div w:id="1150291055">
          <w:marLeft w:val="0"/>
          <w:marRight w:val="0"/>
          <w:marTop w:val="0"/>
          <w:marBottom w:val="0"/>
          <w:divBdr>
            <w:top w:val="none" w:sz="0" w:space="0" w:color="auto"/>
            <w:left w:val="none" w:sz="0" w:space="0" w:color="auto"/>
            <w:bottom w:val="none" w:sz="0" w:space="0" w:color="auto"/>
            <w:right w:val="none" w:sz="0" w:space="0" w:color="auto"/>
          </w:divBdr>
        </w:div>
        <w:div w:id="1413314530">
          <w:marLeft w:val="0"/>
          <w:marRight w:val="0"/>
          <w:marTop w:val="0"/>
          <w:marBottom w:val="0"/>
          <w:divBdr>
            <w:top w:val="none" w:sz="0" w:space="0" w:color="auto"/>
            <w:left w:val="none" w:sz="0" w:space="0" w:color="auto"/>
            <w:bottom w:val="none" w:sz="0" w:space="0" w:color="auto"/>
            <w:right w:val="none" w:sz="0" w:space="0" w:color="auto"/>
          </w:divBdr>
        </w:div>
        <w:div w:id="1416324768">
          <w:marLeft w:val="0"/>
          <w:marRight w:val="0"/>
          <w:marTop w:val="0"/>
          <w:marBottom w:val="0"/>
          <w:divBdr>
            <w:top w:val="none" w:sz="0" w:space="0" w:color="auto"/>
            <w:left w:val="none" w:sz="0" w:space="0" w:color="auto"/>
            <w:bottom w:val="none" w:sz="0" w:space="0" w:color="auto"/>
            <w:right w:val="none" w:sz="0" w:space="0" w:color="auto"/>
          </w:divBdr>
        </w:div>
        <w:div w:id="1464151357">
          <w:marLeft w:val="0"/>
          <w:marRight w:val="0"/>
          <w:marTop w:val="0"/>
          <w:marBottom w:val="0"/>
          <w:divBdr>
            <w:top w:val="none" w:sz="0" w:space="0" w:color="auto"/>
            <w:left w:val="none" w:sz="0" w:space="0" w:color="auto"/>
            <w:bottom w:val="none" w:sz="0" w:space="0" w:color="auto"/>
            <w:right w:val="none" w:sz="0" w:space="0" w:color="auto"/>
          </w:divBdr>
        </w:div>
        <w:div w:id="1480881482">
          <w:marLeft w:val="0"/>
          <w:marRight w:val="0"/>
          <w:marTop w:val="0"/>
          <w:marBottom w:val="0"/>
          <w:divBdr>
            <w:top w:val="none" w:sz="0" w:space="0" w:color="auto"/>
            <w:left w:val="none" w:sz="0" w:space="0" w:color="auto"/>
            <w:bottom w:val="none" w:sz="0" w:space="0" w:color="auto"/>
            <w:right w:val="none" w:sz="0" w:space="0" w:color="auto"/>
          </w:divBdr>
        </w:div>
        <w:div w:id="1637876002">
          <w:marLeft w:val="0"/>
          <w:marRight w:val="0"/>
          <w:marTop w:val="0"/>
          <w:marBottom w:val="0"/>
          <w:divBdr>
            <w:top w:val="none" w:sz="0" w:space="0" w:color="auto"/>
            <w:left w:val="none" w:sz="0" w:space="0" w:color="auto"/>
            <w:bottom w:val="none" w:sz="0" w:space="0" w:color="auto"/>
            <w:right w:val="none" w:sz="0" w:space="0" w:color="auto"/>
          </w:divBdr>
        </w:div>
        <w:div w:id="1670212559">
          <w:marLeft w:val="0"/>
          <w:marRight w:val="0"/>
          <w:marTop w:val="0"/>
          <w:marBottom w:val="0"/>
          <w:divBdr>
            <w:top w:val="none" w:sz="0" w:space="0" w:color="auto"/>
            <w:left w:val="none" w:sz="0" w:space="0" w:color="auto"/>
            <w:bottom w:val="none" w:sz="0" w:space="0" w:color="auto"/>
            <w:right w:val="none" w:sz="0" w:space="0" w:color="auto"/>
          </w:divBdr>
        </w:div>
        <w:div w:id="1737584977">
          <w:marLeft w:val="0"/>
          <w:marRight w:val="0"/>
          <w:marTop w:val="0"/>
          <w:marBottom w:val="0"/>
          <w:divBdr>
            <w:top w:val="none" w:sz="0" w:space="0" w:color="auto"/>
            <w:left w:val="none" w:sz="0" w:space="0" w:color="auto"/>
            <w:bottom w:val="none" w:sz="0" w:space="0" w:color="auto"/>
            <w:right w:val="none" w:sz="0" w:space="0" w:color="auto"/>
          </w:divBdr>
        </w:div>
        <w:div w:id="1745179203">
          <w:marLeft w:val="0"/>
          <w:marRight w:val="0"/>
          <w:marTop w:val="0"/>
          <w:marBottom w:val="0"/>
          <w:divBdr>
            <w:top w:val="none" w:sz="0" w:space="0" w:color="auto"/>
            <w:left w:val="none" w:sz="0" w:space="0" w:color="auto"/>
            <w:bottom w:val="none" w:sz="0" w:space="0" w:color="auto"/>
            <w:right w:val="none" w:sz="0" w:space="0" w:color="auto"/>
          </w:divBdr>
        </w:div>
        <w:div w:id="1791899506">
          <w:marLeft w:val="0"/>
          <w:marRight w:val="0"/>
          <w:marTop w:val="0"/>
          <w:marBottom w:val="0"/>
          <w:divBdr>
            <w:top w:val="none" w:sz="0" w:space="0" w:color="auto"/>
            <w:left w:val="none" w:sz="0" w:space="0" w:color="auto"/>
            <w:bottom w:val="none" w:sz="0" w:space="0" w:color="auto"/>
            <w:right w:val="none" w:sz="0" w:space="0" w:color="auto"/>
          </w:divBdr>
        </w:div>
        <w:div w:id="1868254194">
          <w:marLeft w:val="0"/>
          <w:marRight w:val="0"/>
          <w:marTop w:val="0"/>
          <w:marBottom w:val="0"/>
          <w:divBdr>
            <w:top w:val="none" w:sz="0" w:space="0" w:color="auto"/>
            <w:left w:val="none" w:sz="0" w:space="0" w:color="auto"/>
            <w:bottom w:val="none" w:sz="0" w:space="0" w:color="auto"/>
            <w:right w:val="none" w:sz="0" w:space="0" w:color="auto"/>
          </w:divBdr>
        </w:div>
        <w:div w:id="1873765616">
          <w:marLeft w:val="0"/>
          <w:marRight w:val="0"/>
          <w:marTop w:val="0"/>
          <w:marBottom w:val="0"/>
          <w:divBdr>
            <w:top w:val="none" w:sz="0" w:space="0" w:color="auto"/>
            <w:left w:val="none" w:sz="0" w:space="0" w:color="auto"/>
            <w:bottom w:val="none" w:sz="0" w:space="0" w:color="auto"/>
            <w:right w:val="none" w:sz="0" w:space="0" w:color="auto"/>
          </w:divBdr>
        </w:div>
        <w:div w:id="1897466744">
          <w:marLeft w:val="0"/>
          <w:marRight w:val="0"/>
          <w:marTop w:val="0"/>
          <w:marBottom w:val="0"/>
          <w:divBdr>
            <w:top w:val="none" w:sz="0" w:space="0" w:color="auto"/>
            <w:left w:val="none" w:sz="0" w:space="0" w:color="auto"/>
            <w:bottom w:val="none" w:sz="0" w:space="0" w:color="auto"/>
            <w:right w:val="none" w:sz="0" w:space="0" w:color="auto"/>
          </w:divBdr>
        </w:div>
        <w:div w:id="1918633977">
          <w:marLeft w:val="0"/>
          <w:marRight w:val="0"/>
          <w:marTop w:val="0"/>
          <w:marBottom w:val="0"/>
          <w:divBdr>
            <w:top w:val="none" w:sz="0" w:space="0" w:color="auto"/>
            <w:left w:val="none" w:sz="0" w:space="0" w:color="auto"/>
            <w:bottom w:val="none" w:sz="0" w:space="0" w:color="auto"/>
            <w:right w:val="none" w:sz="0" w:space="0" w:color="auto"/>
          </w:divBdr>
        </w:div>
        <w:div w:id="2035114975">
          <w:marLeft w:val="0"/>
          <w:marRight w:val="0"/>
          <w:marTop w:val="0"/>
          <w:marBottom w:val="0"/>
          <w:divBdr>
            <w:top w:val="none" w:sz="0" w:space="0" w:color="auto"/>
            <w:left w:val="none" w:sz="0" w:space="0" w:color="auto"/>
            <w:bottom w:val="none" w:sz="0" w:space="0" w:color="auto"/>
            <w:right w:val="none" w:sz="0" w:space="0" w:color="auto"/>
          </w:divBdr>
        </w:div>
        <w:div w:id="2056081538">
          <w:marLeft w:val="0"/>
          <w:marRight w:val="0"/>
          <w:marTop w:val="0"/>
          <w:marBottom w:val="0"/>
          <w:divBdr>
            <w:top w:val="none" w:sz="0" w:space="0" w:color="auto"/>
            <w:left w:val="none" w:sz="0" w:space="0" w:color="auto"/>
            <w:bottom w:val="none" w:sz="0" w:space="0" w:color="auto"/>
            <w:right w:val="none" w:sz="0" w:space="0" w:color="auto"/>
          </w:divBdr>
        </w:div>
      </w:divsChild>
    </w:div>
    <w:div w:id="1874030651">
      <w:bodyDiv w:val="1"/>
      <w:marLeft w:val="0"/>
      <w:marRight w:val="0"/>
      <w:marTop w:val="0"/>
      <w:marBottom w:val="0"/>
      <w:divBdr>
        <w:top w:val="none" w:sz="0" w:space="0" w:color="auto"/>
        <w:left w:val="none" w:sz="0" w:space="0" w:color="auto"/>
        <w:bottom w:val="none" w:sz="0" w:space="0" w:color="auto"/>
        <w:right w:val="none" w:sz="0" w:space="0" w:color="auto"/>
      </w:divBdr>
    </w:div>
    <w:div w:id="1881168816">
      <w:bodyDiv w:val="1"/>
      <w:marLeft w:val="0"/>
      <w:marRight w:val="0"/>
      <w:marTop w:val="0"/>
      <w:marBottom w:val="0"/>
      <w:divBdr>
        <w:top w:val="none" w:sz="0" w:space="0" w:color="auto"/>
        <w:left w:val="none" w:sz="0" w:space="0" w:color="auto"/>
        <w:bottom w:val="none" w:sz="0" w:space="0" w:color="auto"/>
        <w:right w:val="none" w:sz="0" w:space="0" w:color="auto"/>
      </w:divBdr>
    </w:div>
    <w:div w:id="1942571357">
      <w:bodyDiv w:val="1"/>
      <w:marLeft w:val="0"/>
      <w:marRight w:val="0"/>
      <w:marTop w:val="0"/>
      <w:marBottom w:val="0"/>
      <w:divBdr>
        <w:top w:val="none" w:sz="0" w:space="0" w:color="auto"/>
        <w:left w:val="none" w:sz="0" w:space="0" w:color="auto"/>
        <w:bottom w:val="none" w:sz="0" w:space="0" w:color="auto"/>
        <w:right w:val="none" w:sz="0" w:space="0" w:color="auto"/>
      </w:divBdr>
    </w:div>
    <w:div w:id="1961834559">
      <w:bodyDiv w:val="1"/>
      <w:marLeft w:val="0"/>
      <w:marRight w:val="0"/>
      <w:marTop w:val="0"/>
      <w:marBottom w:val="0"/>
      <w:divBdr>
        <w:top w:val="none" w:sz="0" w:space="0" w:color="auto"/>
        <w:left w:val="none" w:sz="0" w:space="0" w:color="auto"/>
        <w:bottom w:val="none" w:sz="0" w:space="0" w:color="auto"/>
        <w:right w:val="none" w:sz="0" w:space="0" w:color="auto"/>
      </w:divBdr>
    </w:div>
    <w:div w:id="2020622177">
      <w:bodyDiv w:val="1"/>
      <w:marLeft w:val="0"/>
      <w:marRight w:val="0"/>
      <w:marTop w:val="0"/>
      <w:marBottom w:val="0"/>
      <w:divBdr>
        <w:top w:val="none" w:sz="0" w:space="0" w:color="auto"/>
        <w:left w:val="none" w:sz="0" w:space="0" w:color="auto"/>
        <w:bottom w:val="none" w:sz="0" w:space="0" w:color="auto"/>
        <w:right w:val="none" w:sz="0" w:space="0" w:color="auto"/>
      </w:divBdr>
    </w:div>
    <w:div w:id="2024279097">
      <w:bodyDiv w:val="1"/>
      <w:marLeft w:val="0"/>
      <w:marRight w:val="0"/>
      <w:marTop w:val="0"/>
      <w:marBottom w:val="0"/>
      <w:divBdr>
        <w:top w:val="none" w:sz="0" w:space="0" w:color="auto"/>
        <w:left w:val="none" w:sz="0" w:space="0" w:color="auto"/>
        <w:bottom w:val="none" w:sz="0" w:space="0" w:color="auto"/>
        <w:right w:val="none" w:sz="0" w:space="0" w:color="auto"/>
      </w:divBdr>
    </w:div>
    <w:div w:id="2042120452">
      <w:bodyDiv w:val="1"/>
      <w:marLeft w:val="0"/>
      <w:marRight w:val="0"/>
      <w:marTop w:val="0"/>
      <w:marBottom w:val="0"/>
      <w:divBdr>
        <w:top w:val="none" w:sz="0" w:space="0" w:color="auto"/>
        <w:left w:val="none" w:sz="0" w:space="0" w:color="auto"/>
        <w:bottom w:val="none" w:sz="0" w:space="0" w:color="auto"/>
        <w:right w:val="none" w:sz="0" w:space="0" w:color="auto"/>
      </w:divBdr>
    </w:div>
    <w:div w:id="2087608267">
      <w:bodyDiv w:val="1"/>
      <w:marLeft w:val="0"/>
      <w:marRight w:val="0"/>
      <w:marTop w:val="0"/>
      <w:marBottom w:val="0"/>
      <w:divBdr>
        <w:top w:val="none" w:sz="0" w:space="0" w:color="auto"/>
        <w:left w:val="none" w:sz="0" w:space="0" w:color="auto"/>
        <w:bottom w:val="none" w:sz="0" w:space="0" w:color="auto"/>
        <w:right w:val="none" w:sz="0" w:space="0" w:color="auto"/>
      </w:divBdr>
    </w:div>
    <w:div w:id="2095473729">
      <w:bodyDiv w:val="1"/>
      <w:marLeft w:val="0"/>
      <w:marRight w:val="0"/>
      <w:marTop w:val="0"/>
      <w:marBottom w:val="0"/>
      <w:divBdr>
        <w:top w:val="none" w:sz="0" w:space="0" w:color="auto"/>
        <w:left w:val="none" w:sz="0" w:space="0" w:color="auto"/>
        <w:bottom w:val="none" w:sz="0" w:space="0" w:color="auto"/>
        <w:right w:val="none" w:sz="0" w:space="0" w:color="auto"/>
      </w:divBdr>
    </w:div>
    <w:div w:id="211832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ops@dgepcd.gov.cy" TargetMode="Externa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5D05-6DCE-4C8C-959C-D424CE4E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111</Pages>
  <Words>44685</Words>
  <Characters>254707</Characters>
  <Application>Microsoft Office Word</Application>
  <DocSecurity>0</DocSecurity>
  <Lines>2122</Lines>
  <Paragraphs>597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298795</CharactersWithSpaces>
  <SharedDoc>false</SharedDoc>
  <HLinks>
    <vt:vector size="120" baseType="variant">
      <vt:variant>
        <vt:i4>655483</vt:i4>
      </vt:variant>
      <vt:variant>
        <vt:i4>117</vt:i4>
      </vt:variant>
      <vt:variant>
        <vt:i4>0</vt:i4>
      </vt:variant>
      <vt:variant>
        <vt:i4>5</vt:i4>
      </vt:variant>
      <vt:variant>
        <vt:lpwstr>mailto:ops@dgepcd.gov.cy</vt:lpwstr>
      </vt:variant>
      <vt:variant>
        <vt:lpwstr/>
      </vt:variant>
      <vt:variant>
        <vt:i4>1572914</vt:i4>
      </vt:variant>
      <vt:variant>
        <vt:i4>110</vt:i4>
      </vt:variant>
      <vt:variant>
        <vt:i4>0</vt:i4>
      </vt:variant>
      <vt:variant>
        <vt:i4>5</vt:i4>
      </vt:variant>
      <vt:variant>
        <vt:lpwstr/>
      </vt:variant>
      <vt:variant>
        <vt:lpwstr>_Toc483572205</vt:lpwstr>
      </vt:variant>
      <vt:variant>
        <vt:i4>1572914</vt:i4>
      </vt:variant>
      <vt:variant>
        <vt:i4>104</vt:i4>
      </vt:variant>
      <vt:variant>
        <vt:i4>0</vt:i4>
      </vt:variant>
      <vt:variant>
        <vt:i4>5</vt:i4>
      </vt:variant>
      <vt:variant>
        <vt:lpwstr/>
      </vt:variant>
      <vt:variant>
        <vt:lpwstr>_Toc483572204</vt:lpwstr>
      </vt:variant>
      <vt:variant>
        <vt:i4>1572914</vt:i4>
      </vt:variant>
      <vt:variant>
        <vt:i4>98</vt:i4>
      </vt:variant>
      <vt:variant>
        <vt:i4>0</vt:i4>
      </vt:variant>
      <vt:variant>
        <vt:i4>5</vt:i4>
      </vt:variant>
      <vt:variant>
        <vt:lpwstr/>
      </vt:variant>
      <vt:variant>
        <vt:lpwstr>_Toc483572203</vt:lpwstr>
      </vt:variant>
      <vt:variant>
        <vt:i4>1572914</vt:i4>
      </vt:variant>
      <vt:variant>
        <vt:i4>92</vt:i4>
      </vt:variant>
      <vt:variant>
        <vt:i4>0</vt:i4>
      </vt:variant>
      <vt:variant>
        <vt:i4>5</vt:i4>
      </vt:variant>
      <vt:variant>
        <vt:lpwstr/>
      </vt:variant>
      <vt:variant>
        <vt:lpwstr>_Toc483572202</vt:lpwstr>
      </vt:variant>
      <vt:variant>
        <vt:i4>1572914</vt:i4>
      </vt:variant>
      <vt:variant>
        <vt:i4>86</vt:i4>
      </vt:variant>
      <vt:variant>
        <vt:i4>0</vt:i4>
      </vt:variant>
      <vt:variant>
        <vt:i4>5</vt:i4>
      </vt:variant>
      <vt:variant>
        <vt:lpwstr/>
      </vt:variant>
      <vt:variant>
        <vt:lpwstr>_Toc483572201</vt:lpwstr>
      </vt:variant>
      <vt:variant>
        <vt:i4>1572914</vt:i4>
      </vt:variant>
      <vt:variant>
        <vt:i4>80</vt:i4>
      </vt:variant>
      <vt:variant>
        <vt:i4>0</vt:i4>
      </vt:variant>
      <vt:variant>
        <vt:i4>5</vt:i4>
      </vt:variant>
      <vt:variant>
        <vt:lpwstr/>
      </vt:variant>
      <vt:variant>
        <vt:lpwstr>_Toc483572200</vt:lpwstr>
      </vt:variant>
      <vt:variant>
        <vt:i4>1114161</vt:i4>
      </vt:variant>
      <vt:variant>
        <vt:i4>74</vt:i4>
      </vt:variant>
      <vt:variant>
        <vt:i4>0</vt:i4>
      </vt:variant>
      <vt:variant>
        <vt:i4>5</vt:i4>
      </vt:variant>
      <vt:variant>
        <vt:lpwstr/>
      </vt:variant>
      <vt:variant>
        <vt:lpwstr>_Toc483572199</vt:lpwstr>
      </vt:variant>
      <vt:variant>
        <vt:i4>1114161</vt:i4>
      </vt:variant>
      <vt:variant>
        <vt:i4>68</vt:i4>
      </vt:variant>
      <vt:variant>
        <vt:i4>0</vt:i4>
      </vt:variant>
      <vt:variant>
        <vt:i4>5</vt:i4>
      </vt:variant>
      <vt:variant>
        <vt:lpwstr/>
      </vt:variant>
      <vt:variant>
        <vt:lpwstr>_Toc483572198</vt:lpwstr>
      </vt:variant>
      <vt:variant>
        <vt:i4>1114161</vt:i4>
      </vt:variant>
      <vt:variant>
        <vt:i4>62</vt:i4>
      </vt:variant>
      <vt:variant>
        <vt:i4>0</vt:i4>
      </vt:variant>
      <vt:variant>
        <vt:i4>5</vt:i4>
      </vt:variant>
      <vt:variant>
        <vt:lpwstr/>
      </vt:variant>
      <vt:variant>
        <vt:lpwstr>_Toc483572197</vt:lpwstr>
      </vt:variant>
      <vt:variant>
        <vt:i4>1114161</vt:i4>
      </vt:variant>
      <vt:variant>
        <vt:i4>56</vt:i4>
      </vt:variant>
      <vt:variant>
        <vt:i4>0</vt:i4>
      </vt:variant>
      <vt:variant>
        <vt:i4>5</vt:i4>
      </vt:variant>
      <vt:variant>
        <vt:lpwstr/>
      </vt:variant>
      <vt:variant>
        <vt:lpwstr>_Toc483572196</vt:lpwstr>
      </vt:variant>
      <vt:variant>
        <vt:i4>1114161</vt:i4>
      </vt:variant>
      <vt:variant>
        <vt:i4>50</vt:i4>
      </vt:variant>
      <vt:variant>
        <vt:i4>0</vt:i4>
      </vt:variant>
      <vt:variant>
        <vt:i4>5</vt:i4>
      </vt:variant>
      <vt:variant>
        <vt:lpwstr/>
      </vt:variant>
      <vt:variant>
        <vt:lpwstr>_Toc483572195</vt:lpwstr>
      </vt:variant>
      <vt:variant>
        <vt:i4>1114161</vt:i4>
      </vt:variant>
      <vt:variant>
        <vt:i4>44</vt:i4>
      </vt:variant>
      <vt:variant>
        <vt:i4>0</vt:i4>
      </vt:variant>
      <vt:variant>
        <vt:i4>5</vt:i4>
      </vt:variant>
      <vt:variant>
        <vt:lpwstr/>
      </vt:variant>
      <vt:variant>
        <vt:lpwstr>_Toc483572194</vt:lpwstr>
      </vt:variant>
      <vt:variant>
        <vt:i4>1114161</vt:i4>
      </vt:variant>
      <vt:variant>
        <vt:i4>38</vt:i4>
      </vt:variant>
      <vt:variant>
        <vt:i4>0</vt:i4>
      </vt:variant>
      <vt:variant>
        <vt:i4>5</vt:i4>
      </vt:variant>
      <vt:variant>
        <vt:lpwstr/>
      </vt:variant>
      <vt:variant>
        <vt:lpwstr>_Toc483572193</vt:lpwstr>
      </vt:variant>
      <vt:variant>
        <vt:i4>1114161</vt:i4>
      </vt:variant>
      <vt:variant>
        <vt:i4>32</vt:i4>
      </vt:variant>
      <vt:variant>
        <vt:i4>0</vt:i4>
      </vt:variant>
      <vt:variant>
        <vt:i4>5</vt:i4>
      </vt:variant>
      <vt:variant>
        <vt:lpwstr/>
      </vt:variant>
      <vt:variant>
        <vt:lpwstr>_Toc483572192</vt:lpwstr>
      </vt:variant>
      <vt:variant>
        <vt:i4>1114161</vt:i4>
      </vt:variant>
      <vt:variant>
        <vt:i4>26</vt:i4>
      </vt:variant>
      <vt:variant>
        <vt:i4>0</vt:i4>
      </vt:variant>
      <vt:variant>
        <vt:i4>5</vt:i4>
      </vt:variant>
      <vt:variant>
        <vt:lpwstr/>
      </vt:variant>
      <vt:variant>
        <vt:lpwstr>_Toc483572191</vt:lpwstr>
      </vt:variant>
      <vt:variant>
        <vt:i4>1114161</vt:i4>
      </vt:variant>
      <vt:variant>
        <vt:i4>20</vt:i4>
      </vt:variant>
      <vt:variant>
        <vt:i4>0</vt:i4>
      </vt:variant>
      <vt:variant>
        <vt:i4>5</vt:i4>
      </vt:variant>
      <vt:variant>
        <vt:lpwstr/>
      </vt:variant>
      <vt:variant>
        <vt:lpwstr>_Toc483572190</vt:lpwstr>
      </vt:variant>
      <vt:variant>
        <vt:i4>1048625</vt:i4>
      </vt:variant>
      <vt:variant>
        <vt:i4>14</vt:i4>
      </vt:variant>
      <vt:variant>
        <vt:i4>0</vt:i4>
      </vt:variant>
      <vt:variant>
        <vt:i4>5</vt:i4>
      </vt:variant>
      <vt:variant>
        <vt:lpwstr/>
      </vt:variant>
      <vt:variant>
        <vt:lpwstr>_Toc483572189</vt:lpwstr>
      </vt:variant>
      <vt:variant>
        <vt:i4>1048625</vt:i4>
      </vt:variant>
      <vt:variant>
        <vt:i4>8</vt:i4>
      </vt:variant>
      <vt:variant>
        <vt:i4>0</vt:i4>
      </vt:variant>
      <vt:variant>
        <vt:i4>5</vt:i4>
      </vt:variant>
      <vt:variant>
        <vt:lpwstr/>
      </vt:variant>
      <vt:variant>
        <vt:lpwstr>_Toc483572188</vt:lpwstr>
      </vt:variant>
      <vt:variant>
        <vt:i4>1048625</vt:i4>
      </vt:variant>
      <vt:variant>
        <vt:i4>2</vt:i4>
      </vt:variant>
      <vt:variant>
        <vt:i4>0</vt:i4>
      </vt:variant>
      <vt:variant>
        <vt:i4>5</vt:i4>
      </vt:variant>
      <vt:variant>
        <vt:lpwstr/>
      </vt:variant>
      <vt:variant>
        <vt:lpwstr>_Toc483572187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Socrates Melis</dc:creator>
  <cp:keywords/>
  <cp:lastModifiedBy>Soteriou  Charalambos</cp:lastModifiedBy>
  <cp:revision>9</cp:revision>
  <cp:lastPrinted>2017-08-01T12:48:00Z</cp:lastPrinted>
  <dcterms:created xsi:type="dcterms:W3CDTF">2017-08-04T11:13:00Z</dcterms:created>
  <dcterms:modified xsi:type="dcterms:W3CDTF">2017-08-04T12:27:00Z</dcterms:modified>
</cp:coreProperties>
</file>